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168"/>
      </w:tblGrid>
      <w:tr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left"/>
            </w:pPr>
            <w:r>
              <w:rPr>
                <w:rFonts w:ascii="Arimo" w:hAnsi="Arimo" w:eastAsia="Arimo"/>
                <w:b/>
                <w:i w:val="0"/>
                <w:color w:val="C99B2C"/>
                <w:sz w:val="22"/>
              </w:rPr>
              <w:t>CAMPBELL CHECKLIST SERIES</w:t>
            </w:r>
          </w:p>
        </w:tc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828800" cy="38520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mpbell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3852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Liberation Serif" w:hAnsi="Liberation Serif" w:eastAsia="Liberation Serif"/>
          <w:b w:val="0"/>
          <w:i w:val="0"/>
          <w:color w:val="06275A"/>
          <w:sz w:val="52"/>
        </w:rPr>
        <w:t>Strategic Planning Readiness Checklist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512"/>
            <w:shd w:fill="C99B2C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</w:tr>
    </w:tbl>
    <w:p>
      <w:pPr>
        <w:spacing w:before="100" w:after="160" w:line="276" w:lineRule="auto"/>
      </w:pPr>
      <w:r>
        <w:rPr>
          <w:rFonts w:ascii="Arimo" w:hAnsi="Arimo" w:eastAsia="Arimo"/>
          <w:b w:val="0"/>
          <w:i w:val="0"/>
          <w:color w:val="17233A"/>
          <w:sz w:val="22"/>
        </w:rPr>
        <w:t>A practical readiness check for organizations preparing to build or refresh a strategic plan. Use it to identify what is already in place, what needs attention, and what leadership must resolve before planning begins.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3744"/>
        <w:gridCol w:w="2880"/>
      </w:tblGrid>
      <w:tr>
        <w:tc>
          <w:tcPr>
            <w:tcW w:type="dxa" w:w="3504"/>
            <w:shd w:fill="F5F6F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>
            <w:r>
              <w:rPr>
                <w:rFonts w:ascii="Arimo" w:hAnsi="Arimo" w:eastAsia="Arimo"/>
                <w:b/>
                <w:i w:val="0"/>
                <w:color w:val="657084"/>
                <w:sz w:val="22"/>
              </w:rPr>
              <w:t>ORGANIZATION</w:t>
            </w:r>
          </w:p>
        </w:tc>
        <w:tc>
          <w:tcPr>
            <w:tcW w:type="dxa" w:w="3504"/>
            <w:shd w:fill="F5F6F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>
            <w:r>
              <w:rPr>
                <w:rFonts w:ascii="Arimo" w:hAnsi="Arimo" w:eastAsia="Arimo"/>
                <w:b/>
                <w:i w:val="0"/>
                <w:color w:val="657084"/>
                <w:sz w:val="22"/>
              </w:rPr>
              <w:t>OWNER</w:t>
            </w:r>
          </w:p>
        </w:tc>
        <w:tc>
          <w:tcPr>
            <w:tcW w:type="dxa" w:w="3504"/>
            <w:shd w:fill="F5F6F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>
            <w:r>
              <w:rPr>
                <w:rFonts w:ascii="Arimo" w:hAnsi="Arimo" w:eastAsia="Arimo"/>
                <w:b/>
                <w:i w:val="0"/>
                <w:color w:val="657084"/>
                <w:sz w:val="22"/>
              </w:rPr>
              <w:t>DATE</w:t>
            </w:r>
          </w:p>
        </w:tc>
      </w:tr>
      <w:tr>
        <w:tc>
          <w:tcPr>
            <w:tcW w:type="dxa" w:w="3504"/>
            <w:tcMar>
              <w:top w:w="120" w:type="dxa"/>
              <w:start w:w="90" w:type="dxa"/>
              <w:bottom w:w="12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/>
        </w:tc>
        <w:tc>
          <w:tcPr>
            <w:tcW w:type="dxa" w:w="3504"/>
            <w:tcMar>
              <w:top w:w="120" w:type="dxa"/>
              <w:start w:w="90" w:type="dxa"/>
              <w:bottom w:w="12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/>
        </w:tc>
        <w:tc>
          <w:tcPr>
            <w:tcW w:type="dxa" w:w="3504"/>
            <w:tcMar>
              <w:top w:w="120" w:type="dxa"/>
              <w:start w:w="90" w:type="dxa"/>
              <w:bottom w:w="120" w:type="dxa"/>
              <w:end w:w="90" w:type="dxa"/>
            </w:tcMar>
            <w:tcBorders>
              <w:top w:val="single" w:sz="4" w:color="D9DDE5"/>
              <w:left w:val="single" w:sz="4" w:color="D9DDE5"/>
              <w:bottom w:val="single" w:sz="4" w:color="D9DDE5"/>
              <w:right w:val="single" w:sz="4" w:color="D9DDE5"/>
            </w:tcBorders>
          </w:tcPr>
          <w:p/>
        </w:tc>
      </w:tr>
    </w:tbl>
    <w:p>
      <w:pPr>
        <w:spacing w:after="20"/>
      </w:pPr>
    </w:p>
    <w:p>
      <w:pPr>
        <w:spacing w:before="40" w:after="8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Easy Adoption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8136"/>
      </w:tblGrid>
      <w:tr>
        <w:tc>
          <w:tcPr>
            <w:tcW w:type="dxa" w:w="5256"/>
            <w:shd w:fill="06275A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WHAT IT DOES</w:t>
            </w:r>
          </w:p>
        </w:tc>
        <w:tc>
          <w:tcPr>
            <w:tcW w:type="dxa" w:w="5256"/>
            <w:shd w:fill="FBFAF7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Shows whether the organization has the leadership alignment, evidence, focus, and implementation capacity needed to begin strategic planning well.</w:t>
            </w:r>
          </w:p>
        </w:tc>
      </w:tr>
      <w:tr>
        <w:tc>
          <w:tcPr>
            <w:tcW w:type="dxa" w:w="5256"/>
            <w:shd w:fill="06275A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WHO USES IT</w:t>
            </w:r>
          </w:p>
        </w:tc>
        <w:tc>
          <w:tcPr>
            <w:tcW w:type="dxa" w:w="5256"/>
            <w:shd w:fill="FBFAF7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CEO/Executive Director, leadership team, board chair or planning committee, and the person coordinating the planning process.</w:t>
            </w:r>
          </w:p>
        </w:tc>
      </w:tr>
      <w:tr>
        <w:tc>
          <w:tcPr>
            <w:tcW w:type="dxa" w:w="5256"/>
            <w:shd w:fill="06275A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WHEN TO USE IT</w:t>
            </w:r>
          </w:p>
        </w:tc>
        <w:tc>
          <w:tcPr>
            <w:tcW w:type="dxa" w:w="5256"/>
            <w:shd w:fill="FBFAF7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Use 2-6 weeks before launching a planning process, then revisit unresolved items before the first formal planning session.</w:t>
            </w:r>
          </w:p>
        </w:tc>
      </w:tr>
      <w:tr>
        <w:tc>
          <w:tcPr>
            <w:tcW w:type="dxa" w:w="5256"/>
            <w:shd w:fill="06275A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HOW TO USE IT</w:t>
            </w:r>
          </w:p>
        </w:tc>
        <w:tc>
          <w:tcPr>
            <w:tcW w:type="dxa" w:w="5256"/>
            <w:shd w:fill="FBFAF7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E5E7EB"/>
              <w:left w:val="single" w:sz="3" w:color="E5E7EB"/>
              <w:bottom w:val="single" w:sz="3" w:color="E5E7EB"/>
              <w:right w:val="single" w:sz="3" w:color="E5E7EB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Meet for 30-45 minutes. Check an item only when evidence exists. Add notes, total the score, select the top 1-3 gaps, assign owners and dates, then revisit before kickoff.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168"/>
      </w:tblGrid>
      <w:tr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left"/>
            </w:pPr>
            <w:r>
              <w:rPr>
                <w:rFonts w:ascii="Arimo" w:hAnsi="Arimo" w:eastAsia="Arimo"/>
                <w:b/>
                <w:i w:val="0"/>
                <w:color w:val="C99B2C"/>
                <w:sz w:val="22"/>
              </w:rPr>
              <w:t>CAMPBELL CHECKLIST SERIES</w:t>
            </w:r>
          </w:p>
        </w:tc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828800" cy="38520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mpbell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3852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60" w:after="2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1. Leadership Readiness</w:t>
      </w:r>
    </w:p>
    <w:p>
      <w:pPr>
        <w:spacing w:before="0" w:after="80" w:line="252" w:lineRule="auto"/>
      </w:pPr>
      <w:r>
        <w:rPr>
          <w:rFonts w:ascii="Arimo" w:hAnsi="Arimo" w:eastAsia="Arimo"/>
          <w:b w:val="0"/>
          <w:i w:val="0"/>
          <w:color w:val="657084"/>
          <w:sz w:val="22"/>
        </w:rPr>
        <w:t>Confirm the organization is prepared to make choices - not simply produce a document.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5112"/>
        <w:gridCol w:w="4392"/>
      </w:tblGrid>
      <w:tr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CHECKPOINT</w:t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NOTES / EVIDENCE</w:t>
            </w:r>
          </w:p>
        </w:tc>
      </w:tr>
      <w:tr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Leadership agrees on why a strategic plan is needed and what decisions it must guide.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An executive sponsor and final decision-maker are identified.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Board, leadership, staff, and stakeholder participation expectations are defined.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Time, budget, and internal capacity are committed to the planning process.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</w:tbl>
    <w:p>
      <w:pPr>
        <w:spacing w:before="160" w:after="2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2. Current-State Evidence</w:t>
      </w:r>
    </w:p>
    <w:p>
      <w:pPr>
        <w:spacing w:before="0" w:after="80" w:line="252" w:lineRule="auto"/>
      </w:pPr>
      <w:r>
        <w:rPr>
          <w:rFonts w:ascii="Arimo" w:hAnsi="Arimo" w:eastAsia="Arimo"/>
          <w:b w:val="0"/>
          <w:i w:val="0"/>
          <w:color w:val="657084"/>
          <w:sz w:val="22"/>
        </w:rPr>
        <w:t>Ground the process in evidence about performance, needs, and the operating environment.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5112"/>
        <w:gridCol w:w="4392"/>
      </w:tblGrid>
      <w:tr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CHECKPOINT</w:t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NOTES / EVIDENCE</w:t>
            </w:r>
          </w:p>
        </w:tc>
      </w:tr>
      <w:tr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Current mission, vision, values, goals, and prior plans have been gathered for review.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Program, financial, operational, workforce, and performance data are available or can be assembled.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Key stakeholder groups and feedback sources have been identified.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External trends, risks, opportunities, peers/competitors, and community needs have been considered.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168"/>
      </w:tblGrid>
      <w:tr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left"/>
            </w:pPr>
            <w:r>
              <w:rPr>
                <w:rFonts w:ascii="Arimo" w:hAnsi="Arimo" w:eastAsia="Arimo"/>
                <w:b/>
                <w:i w:val="0"/>
                <w:color w:val="C99B2C"/>
                <w:sz w:val="22"/>
              </w:rPr>
              <w:t>CAMPBELL CHECKLIST SERIES</w:t>
            </w:r>
          </w:p>
        </w:tc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828800" cy="38520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mpbell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3852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60" w:after="2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3. Strategic Focus</w:t>
      </w:r>
    </w:p>
    <w:p>
      <w:pPr>
        <w:spacing w:before="0" w:after="80" w:line="252" w:lineRule="auto"/>
      </w:pPr>
      <w:r>
        <w:rPr>
          <w:rFonts w:ascii="Arimo" w:hAnsi="Arimo" w:eastAsia="Arimo"/>
          <w:b w:val="0"/>
          <w:i w:val="0"/>
          <w:color w:val="657084"/>
          <w:sz w:val="22"/>
        </w:rPr>
        <w:t>Create the conditions for clear priorities and meaningful trade-offs.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5112"/>
        <w:gridCol w:w="4392"/>
      </w:tblGrid>
      <w:tr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CHECKPOINT</w:t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NOTES / EVIDENCE</w:t>
            </w:r>
          </w:p>
        </w:tc>
      </w:tr>
      <w:tr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The organization can name its most important strategic challenges or opportunities.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Leadership is willing to prioritize rather than treat every initiative as equally urgent.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The planning horizon and desired organizational outcomes are defined.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Criteria for evaluating and selecting strategic priorities are agreed upon.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</w:tbl>
    <w:p>
      <w:pPr>
        <w:spacing w:before="160" w:after="2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4. Implementation Readiness</w:t>
      </w:r>
    </w:p>
    <w:p>
      <w:pPr>
        <w:spacing w:before="0" w:after="80" w:line="252" w:lineRule="auto"/>
      </w:pPr>
      <w:r>
        <w:rPr>
          <w:rFonts w:ascii="Arimo" w:hAnsi="Arimo" w:eastAsia="Arimo"/>
          <w:b w:val="0"/>
          <w:i w:val="0"/>
          <w:color w:val="657084"/>
          <w:sz w:val="22"/>
        </w:rPr>
        <w:t>Plan for execution while strategy is being developed.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5112"/>
        <w:gridCol w:w="4392"/>
      </w:tblGrid>
      <w:tr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CHECKPOINT</w:t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NOTES / EVIDENCE</w:t>
            </w:r>
          </w:p>
        </w:tc>
      </w:tr>
      <w:tr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Likely owners for strategic priorities and major initiatives can be identified.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Budget, staffing, technology, and partnership implications will be considered.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Each priority will include measurable outcomes or performance indicators.</w:t>
            </w:r>
          </w:p>
        </w:tc>
        <w:tc>
          <w:tcPr>
            <w:tcW w:type="dxa" w:w="350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  <w:tr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 w:val="0"/>
                <w:i w:val="0"/>
                <w:color w:val="06275A"/>
                <w:sz w:val="22"/>
              </w:rPr>
              <w:t>□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  <w:t>A cadence for implementation review, reporting, and course correction will be established.</w:t>
            </w:r>
          </w:p>
        </w:tc>
        <w:tc>
          <w:tcPr>
            <w:tcW w:type="dxa" w:w="3504"/>
            <w:shd w:fill="F8F9FA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r>
              <w:rPr>
                <w:rFonts w:ascii="Arimo" w:hAnsi="Arimo" w:eastAsia="Arimo"/>
                <w:b w:val="0"/>
                <w:i w:val="0"/>
                <w:color w:val="17233A"/>
                <w:sz w:val="22"/>
              </w:rPr>
            </w:r>
          </w:p>
        </w:tc>
      </w:tr>
    </w:tbl>
    <w:p>
      <w:pPr>
        <w:spacing w:before="160" w:after="8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Readiness / Health Signal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3384"/>
        <w:gridCol w:w="3384"/>
      </w:tblGrid>
      <w:tr>
        <w:tc>
          <w:tcPr>
            <w:tcW w:type="dxa" w:w="3504"/>
            <w:shd w:fill="F6F3EB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3" w:color="E2DCCF"/>
              <w:left w:val="single" w:sz="3" w:color="E2DCCF"/>
              <w:bottom w:val="single" w:sz="3" w:color="E2DCCF"/>
              <w:right w:val="single" w:sz="3" w:color="E2DCCF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17233A"/>
                <w:sz w:val="22"/>
              </w:rPr>
              <w:t>13-16 checked</w:t>
              <w:br/>
              <w:t>Ready to plan</w:t>
            </w:r>
          </w:p>
        </w:tc>
        <w:tc>
          <w:tcPr>
            <w:tcW w:type="dxa" w:w="3504"/>
            <w:shd w:fill="F6F3EB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3" w:color="E2DCCF"/>
              <w:left w:val="single" w:sz="3" w:color="E2DCCF"/>
              <w:bottom w:val="single" w:sz="3" w:color="E2DCCF"/>
              <w:right w:val="single" w:sz="3" w:color="E2DCCF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17233A"/>
                <w:sz w:val="22"/>
              </w:rPr>
              <w:t>9-12 checked</w:t>
              <w:br/>
              <w:t>Targeted preparation needed</w:t>
            </w:r>
          </w:p>
        </w:tc>
        <w:tc>
          <w:tcPr>
            <w:tcW w:type="dxa" w:w="3504"/>
            <w:shd w:fill="F8F4F3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3" w:color="E2DCCF"/>
              <w:left w:val="single" w:sz="3" w:color="E2DCCF"/>
              <w:bottom w:val="single" w:sz="3" w:color="E2DCCF"/>
              <w:right w:val="single" w:sz="3" w:color="E2DCCF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17233A"/>
                <w:sz w:val="22"/>
              </w:rPr>
              <w:t>0-8 checked</w:t>
              <w:br/>
              <w:t>Strengthen the foundation first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168"/>
      </w:tblGrid>
      <w:tr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left"/>
            </w:pPr>
            <w:r>
              <w:rPr>
                <w:rFonts w:ascii="Arimo" w:hAnsi="Arimo" w:eastAsia="Arimo"/>
                <w:b/>
                <w:i w:val="0"/>
                <w:color w:val="C99B2C"/>
                <w:sz w:val="22"/>
              </w:rPr>
              <w:t>CAMPBELL CHECKLIST SERIES</w:t>
            </w:r>
          </w:p>
        </w:tc>
        <w:tc>
          <w:tcPr>
            <w:tcW w:type="dxa" w:w="5256"/>
            <w:vAlign w:val="center"/>
            <w:tcBorders>
              <w:bottom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828800" cy="38520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mpbell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3852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6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Action Plan</w:t>
      </w:r>
    </w:p>
    <w:p>
      <w:pPr>
        <w:spacing w:before="40" w:after="40" w:line="252" w:lineRule="auto"/>
      </w:pPr>
      <w:r>
        <w:rPr>
          <w:rFonts w:ascii="Arimo" w:hAnsi="Arimo" w:eastAsia="Arimo"/>
          <w:b/>
          <w:i w:val="0"/>
          <w:color w:val="17233A"/>
          <w:sz w:val="22"/>
        </w:rPr>
        <w:t>What must be resolved before the planning process begins?</w:t>
      </w:r>
    </w:p>
    <w:p>
      <w:pPr>
        <w:spacing w:before="0" w:after="100" w:line="252" w:lineRule="auto"/>
      </w:pPr>
      <w:r>
        <w:rPr>
          <w:rFonts w:ascii="Arimo" w:hAnsi="Arimo" w:eastAsia="Arimo"/>
          <w:b w:val="0"/>
          <w:i w:val="0"/>
          <w:color w:val="657084"/>
          <w:sz w:val="22"/>
        </w:rPr>
        <w:t>________________________________________________________________________________</w:t>
      </w:r>
    </w:p>
    <w:p>
      <w:pPr>
        <w:spacing w:before="40" w:after="80" w:line="252" w:lineRule="auto"/>
      </w:pPr>
      <w:r>
        <w:rPr>
          <w:rFonts w:ascii="Arimo" w:hAnsi="Arimo" w:eastAsia="Arimo"/>
          <w:b/>
          <w:i w:val="0"/>
          <w:color w:val="06275A"/>
          <w:sz w:val="28"/>
        </w:rPr>
        <w:t>Next Actions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304"/>
        <w:gridCol w:w="2160"/>
      </w:tblGrid>
      <w:tr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ACTION / DECISION</w:t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OWNER</w:t>
            </w:r>
          </w:p>
        </w:tc>
        <w:tc>
          <w:tcPr>
            <w:tcW w:type="dxa" w:w="3504"/>
            <w:shd w:fill="06275A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>
            <w:pPr>
              <w:jc w:val="center"/>
            </w:pPr>
            <w:r>
              <w:rPr>
                <w:rFonts w:ascii="Arimo" w:hAnsi="Arimo" w:eastAsia="Arimo"/>
                <w:b/>
                <w:i w:val="0"/>
                <w:color w:val="FFFFFF"/>
                <w:sz w:val="22"/>
              </w:rPr>
              <w:t>DUE DATE</w:t>
            </w:r>
          </w:p>
        </w:tc>
      </w:tr>
      <w:tr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</w:tr>
      <w:tr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</w:tr>
      <w:tr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  <w:tc>
          <w:tcPr>
            <w:tcW w:type="dxa" w:w="3504"/>
            <w:tcMar>
              <w:top w:w="160" w:type="dxa"/>
              <w:start w:w="90" w:type="dxa"/>
              <w:bottom w:w="160" w:type="dxa"/>
              <w:end w:w="90" w:type="dxa"/>
            </w:tcMar>
            <w:tcBorders>
              <w:top w:val="single" w:sz="3" w:color="E1E3E8"/>
              <w:left w:val="single" w:sz="3" w:color="E1E3E8"/>
              <w:bottom w:val="single" w:sz="3" w:color="E1E3E8"/>
              <w:right w:val="single" w:sz="3" w:color="E1E3E8"/>
            </w:tcBorders>
          </w:tcPr>
          <w:p/>
        </w:tc>
      </w:tr>
    </w:tbl>
    <w:p>
      <w:pPr>
        <w:spacing w:before="120" w:after="0" w:line="252" w:lineRule="auto"/>
      </w:pPr>
      <w:r>
        <w:rPr>
          <w:rFonts w:ascii="Arimo" w:hAnsi="Arimo" w:eastAsia="Arimo"/>
          <w:b w:val="0"/>
          <w:i/>
          <w:color w:val="657084"/>
          <w:sz w:val="22"/>
        </w:rPr>
        <w:t>Adoption tip: assign one owner to maintain this tool, store it with your operating or project documents, and revisit it on a predictable cadence.</w:t>
      </w:r>
    </w:p>
    <w:sectPr w:rsidR="00FC693F" w:rsidRPr="0006063C" w:rsidSect="00034616">
      <w:footerReference w:type="default" r:id="rId10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mo" w:hAnsi="Arimo" w:eastAsia="Arimo"/>
        <w:b/>
        <w:i w:val="0"/>
        <w:color w:val="06275A"/>
        <w:sz w:val="18"/>
      </w:rPr>
      <w:t>CAMPBELL  |  STRATEGY. EXECUTION. IMPACT.  |  campbellconsults.com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mo" w:hAnsi="Arimo" w:eastAsia="Arimo"/>
      <w:color w:val="1723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