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624"/>
        <w:gridCol w:w="3168"/>
      </w:tblGrid>
      <w:tr>
        <w:tc>
          <w:tcPr>
            <w:tcW w:type="dxa" w:w="5256"/>
            <w:vAlign w:val="center"/>
            <w:tcBorders>
              <w:bottom w:val="nil"/>
            </w:tcBorders>
          </w:tcPr>
          <w:p>
            <w:pPr>
              <w:jc w:val="left"/>
            </w:pPr>
            <w:r>
              <w:rPr>
                <w:rFonts w:ascii="Arimo" w:hAnsi="Arimo" w:eastAsia="Arimo"/>
                <w:b/>
                <w:i w:val="0"/>
                <w:color w:val="C99B2C"/>
                <w:sz w:val="22"/>
              </w:rPr>
              <w:t>CAMPBELL CHECKLIST SERIES</w:t>
            </w:r>
          </w:p>
        </w:tc>
        <w:tc>
          <w:tcPr>
            <w:tcW w:type="dxa" w:w="5256"/>
            <w:vAlign w:val="center"/>
            <w:tcBorders>
              <w:bottom w:val="nil"/>
            </w:tcBorders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828800" cy="385205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mpbell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38520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Liberation Serif" w:hAnsi="Liberation Serif" w:eastAsia="Liberation Serif"/>
          <w:b w:val="0"/>
          <w:i w:val="0"/>
          <w:color w:val="06275A"/>
          <w:sz w:val="52"/>
        </w:rPr>
        <w:t>Organizational Alignment Checklist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512"/>
            <w:shd w:fill="C99B2C"/>
            <w:tcMar>
              <w:top w:w="0" w:type="dxa"/>
              <w:start w:w="0" w:type="dxa"/>
              <w:bottom w:w="0" w:type="dxa"/>
              <w:end w:w="0" w:type="dxa"/>
            </w:tcMar>
          </w:tcPr>
          <w:p/>
        </w:tc>
      </w:tr>
    </w:tbl>
    <w:p>
      <w:pPr>
        <w:spacing w:before="100" w:after="160" w:line="276" w:lineRule="auto"/>
      </w:pPr>
      <w:r>
        <w:rPr>
          <w:rFonts w:ascii="Arimo" w:hAnsi="Arimo" w:eastAsia="Arimo"/>
          <w:b w:val="0"/>
          <w:i w:val="0"/>
          <w:color w:val="17233A"/>
          <w:sz w:val="22"/>
        </w:rPr>
        <w:t>A practical alignment check for leaders who need strategy, structure, operations, and performance management to work together. Use it to identify disconnects that create friction, duplication, or stalled execution.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744"/>
        <w:gridCol w:w="3744"/>
        <w:gridCol w:w="2880"/>
      </w:tblGrid>
      <w:tr>
        <w:tc>
          <w:tcPr>
            <w:tcW w:type="dxa" w:w="3504"/>
            <w:shd w:fill="F5F6F8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DE5"/>
              <w:left w:val="single" w:sz="4" w:color="D9DDE5"/>
              <w:bottom w:val="single" w:sz="4" w:color="D9DDE5"/>
              <w:right w:val="single" w:sz="4" w:color="D9DDE5"/>
            </w:tcBorders>
          </w:tcPr>
          <w:p>
            <w:r>
              <w:rPr>
                <w:rFonts w:ascii="Arimo" w:hAnsi="Arimo" w:eastAsia="Arimo"/>
                <w:b/>
                <w:i w:val="0"/>
                <w:color w:val="657084"/>
                <w:sz w:val="22"/>
              </w:rPr>
              <w:t>ORGANIZATION</w:t>
            </w:r>
          </w:p>
        </w:tc>
        <w:tc>
          <w:tcPr>
            <w:tcW w:type="dxa" w:w="3504"/>
            <w:shd w:fill="F5F6F8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DE5"/>
              <w:left w:val="single" w:sz="4" w:color="D9DDE5"/>
              <w:bottom w:val="single" w:sz="4" w:color="D9DDE5"/>
              <w:right w:val="single" w:sz="4" w:color="D9DDE5"/>
            </w:tcBorders>
          </w:tcPr>
          <w:p>
            <w:r>
              <w:rPr>
                <w:rFonts w:ascii="Arimo" w:hAnsi="Arimo" w:eastAsia="Arimo"/>
                <w:b/>
                <w:i w:val="0"/>
                <w:color w:val="657084"/>
                <w:sz w:val="22"/>
              </w:rPr>
              <w:t>OWNER</w:t>
            </w:r>
          </w:p>
        </w:tc>
        <w:tc>
          <w:tcPr>
            <w:tcW w:type="dxa" w:w="3504"/>
            <w:shd w:fill="F5F6F8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DE5"/>
              <w:left w:val="single" w:sz="4" w:color="D9DDE5"/>
              <w:bottom w:val="single" w:sz="4" w:color="D9DDE5"/>
              <w:right w:val="single" w:sz="4" w:color="D9DDE5"/>
            </w:tcBorders>
          </w:tcPr>
          <w:p>
            <w:r>
              <w:rPr>
                <w:rFonts w:ascii="Arimo" w:hAnsi="Arimo" w:eastAsia="Arimo"/>
                <w:b/>
                <w:i w:val="0"/>
                <w:color w:val="657084"/>
                <w:sz w:val="22"/>
              </w:rPr>
              <w:t>DATE</w:t>
            </w:r>
          </w:p>
        </w:tc>
      </w:tr>
      <w:tr>
        <w:tc>
          <w:tcPr>
            <w:tcW w:type="dxa" w:w="3504"/>
            <w:tcMar>
              <w:top w:w="120" w:type="dxa"/>
              <w:start w:w="90" w:type="dxa"/>
              <w:bottom w:w="120" w:type="dxa"/>
              <w:end w:w="90" w:type="dxa"/>
            </w:tcMar>
            <w:tcBorders>
              <w:top w:val="single" w:sz="4" w:color="D9DDE5"/>
              <w:left w:val="single" w:sz="4" w:color="D9DDE5"/>
              <w:bottom w:val="single" w:sz="4" w:color="D9DDE5"/>
              <w:right w:val="single" w:sz="4" w:color="D9DDE5"/>
            </w:tcBorders>
          </w:tcPr>
          <w:p/>
        </w:tc>
        <w:tc>
          <w:tcPr>
            <w:tcW w:type="dxa" w:w="3504"/>
            <w:tcMar>
              <w:top w:w="120" w:type="dxa"/>
              <w:start w:w="90" w:type="dxa"/>
              <w:bottom w:w="120" w:type="dxa"/>
              <w:end w:w="90" w:type="dxa"/>
            </w:tcMar>
            <w:tcBorders>
              <w:top w:val="single" w:sz="4" w:color="D9DDE5"/>
              <w:left w:val="single" w:sz="4" w:color="D9DDE5"/>
              <w:bottom w:val="single" w:sz="4" w:color="D9DDE5"/>
              <w:right w:val="single" w:sz="4" w:color="D9DDE5"/>
            </w:tcBorders>
          </w:tcPr>
          <w:p/>
        </w:tc>
        <w:tc>
          <w:tcPr>
            <w:tcW w:type="dxa" w:w="3504"/>
            <w:tcMar>
              <w:top w:w="120" w:type="dxa"/>
              <w:start w:w="90" w:type="dxa"/>
              <w:bottom w:w="120" w:type="dxa"/>
              <w:end w:w="90" w:type="dxa"/>
            </w:tcMar>
            <w:tcBorders>
              <w:top w:val="single" w:sz="4" w:color="D9DDE5"/>
              <w:left w:val="single" w:sz="4" w:color="D9DDE5"/>
              <w:bottom w:val="single" w:sz="4" w:color="D9DDE5"/>
              <w:right w:val="single" w:sz="4" w:color="D9DDE5"/>
            </w:tcBorders>
          </w:tcPr>
          <w:p/>
        </w:tc>
      </w:tr>
    </w:tbl>
    <w:p>
      <w:pPr>
        <w:spacing w:after="20"/>
      </w:pPr>
    </w:p>
    <w:p>
      <w:pPr>
        <w:spacing w:before="40" w:after="80" w:line="252" w:lineRule="auto"/>
      </w:pPr>
      <w:r>
        <w:rPr>
          <w:rFonts w:ascii="Arimo" w:hAnsi="Arimo" w:eastAsia="Arimo"/>
          <w:b/>
          <w:i w:val="0"/>
          <w:color w:val="06275A"/>
          <w:sz w:val="28"/>
        </w:rPr>
        <w:t>Easy Adoption Summary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88"/>
        <w:gridCol w:w="8136"/>
      </w:tblGrid>
      <w:tr>
        <w:tc>
          <w:tcPr>
            <w:tcW w:type="dxa" w:w="5256"/>
            <w:shd w:fill="06275A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3" w:color="E5E7EB"/>
              <w:left w:val="single" w:sz="3" w:color="E5E7EB"/>
              <w:bottom w:val="single" w:sz="3" w:color="E5E7EB"/>
              <w:right w:val="single" w:sz="3" w:color="E5E7EB"/>
            </w:tcBorders>
          </w:tcPr>
          <w:p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  <w:t>WHAT IT DOES</w:t>
            </w:r>
          </w:p>
        </w:tc>
        <w:tc>
          <w:tcPr>
            <w:tcW w:type="dxa" w:w="5256"/>
            <w:shd w:fill="FBFAF7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3" w:color="E5E7EB"/>
              <w:left w:val="single" w:sz="3" w:color="E5E7EB"/>
              <w:bottom w:val="single" w:sz="3" w:color="E5E7EB"/>
              <w:right w:val="single" w:sz="3" w:color="E5E7EB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Helps leadership identify where strategy, structure, operations, or accountability are out of sync and turning into organizational friction.</w:t>
            </w:r>
          </w:p>
        </w:tc>
      </w:tr>
      <w:tr>
        <w:tc>
          <w:tcPr>
            <w:tcW w:type="dxa" w:w="5256"/>
            <w:shd w:fill="06275A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3" w:color="E5E7EB"/>
              <w:left w:val="single" w:sz="3" w:color="E5E7EB"/>
              <w:bottom w:val="single" w:sz="3" w:color="E5E7EB"/>
              <w:right w:val="single" w:sz="3" w:color="E5E7EB"/>
            </w:tcBorders>
          </w:tcPr>
          <w:p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  <w:t>WHO USES IT</w:t>
            </w:r>
          </w:p>
        </w:tc>
        <w:tc>
          <w:tcPr>
            <w:tcW w:type="dxa" w:w="5256"/>
            <w:shd w:fill="FBFAF7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3" w:color="E5E7EB"/>
              <w:left w:val="single" w:sz="3" w:color="E5E7EB"/>
              <w:bottom w:val="single" w:sz="3" w:color="E5E7EB"/>
              <w:right w:val="single" w:sz="3" w:color="E5E7EB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CEO/Executive Director, senior leadership team, board leadership when appropriate, and owners of major functions or programs.</w:t>
            </w:r>
          </w:p>
        </w:tc>
      </w:tr>
      <w:tr>
        <w:tc>
          <w:tcPr>
            <w:tcW w:type="dxa" w:w="5256"/>
            <w:shd w:fill="06275A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3" w:color="E5E7EB"/>
              <w:left w:val="single" w:sz="3" w:color="E5E7EB"/>
              <w:bottom w:val="single" w:sz="3" w:color="E5E7EB"/>
              <w:right w:val="single" w:sz="3" w:color="E5E7EB"/>
            </w:tcBorders>
          </w:tcPr>
          <w:p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  <w:t>WHEN TO USE IT</w:t>
            </w:r>
          </w:p>
        </w:tc>
        <w:tc>
          <w:tcPr>
            <w:tcW w:type="dxa" w:w="5256"/>
            <w:shd w:fill="FBFAF7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3" w:color="E5E7EB"/>
              <w:left w:val="single" w:sz="3" w:color="E5E7EB"/>
              <w:bottom w:val="single" w:sz="3" w:color="E5E7EB"/>
              <w:right w:val="single" w:sz="3" w:color="E5E7EB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Use quarterly, during annual planning, after a major reorganization, or whenever priorities are stalling across teams.</w:t>
            </w:r>
          </w:p>
        </w:tc>
      </w:tr>
      <w:tr>
        <w:tc>
          <w:tcPr>
            <w:tcW w:type="dxa" w:w="5256"/>
            <w:shd w:fill="06275A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3" w:color="E5E7EB"/>
              <w:left w:val="single" w:sz="3" w:color="E5E7EB"/>
              <w:bottom w:val="single" w:sz="3" w:color="E5E7EB"/>
              <w:right w:val="single" w:sz="3" w:color="E5E7EB"/>
            </w:tcBorders>
          </w:tcPr>
          <w:p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  <w:t>HOW TO USE IT</w:t>
            </w:r>
          </w:p>
        </w:tc>
        <w:tc>
          <w:tcPr>
            <w:tcW w:type="dxa" w:w="5256"/>
            <w:shd w:fill="FBFAF7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3" w:color="E5E7EB"/>
              <w:left w:val="single" w:sz="3" w:color="E5E7EB"/>
              <w:bottom w:val="single" w:sz="3" w:color="E5E7EB"/>
              <w:right w:val="single" w:sz="3" w:color="E5E7EB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Complete the checklist as a leadership team. Require examples or evidence for each checked item. Score the organization, identify the 1-3 biggest disconnects, assign corrective actions, and recheck next quarter.</w:t>
            </w:r>
          </w:p>
        </w:tc>
      </w:tr>
    </w:tbl>
    <w:p>
      <w:pPr>
        <w:spacing w:after="4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624"/>
        <w:gridCol w:w="3168"/>
      </w:tblGrid>
      <w:tr>
        <w:tc>
          <w:tcPr>
            <w:tcW w:type="dxa" w:w="5256"/>
            <w:vAlign w:val="center"/>
            <w:tcBorders>
              <w:bottom w:val="nil"/>
            </w:tcBorders>
          </w:tcPr>
          <w:p>
            <w:pPr>
              <w:jc w:val="left"/>
            </w:pPr>
            <w:r>
              <w:rPr>
                <w:rFonts w:ascii="Arimo" w:hAnsi="Arimo" w:eastAsia="Arimo"/>
                <w:b/>
                <w:i w:val="0"/>
                <w:color w:val="C99B2C"/>
                <w:sz w:val="22"/>
              </w:rPr>
              <w:t>CAMPBELL CHECKLIST SERIES</w:t>
            </w:r>
          </w:p>
        </w:tc>
        <w:tc>
          <w:tcPr>
            <w:tcW w:type="dxa" w:w="5256"/>
            <w:vAlign w:val="center"/>
            <w:tcBorders>
              <w:bottom w:val="nil"/>
            </w:tcBorders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828800" cy="385205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mpbell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38520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160" w:after="20" w:line="252" w:lineRule="auto"/>
      </w:pPr>
      <w:r>
        <w:rPr>
          <w:rFonts w:ascii="Arimo" w:hAnsi="Arimo" w:eastAsia="Arimo"/>
          <w:b/>
          <w:i w:val="0"/>
          <w:color w:val="06275A"/>
          <w:sz w:val="28"/>
        </w:rPr>
        <w:t>1. Strategy Alignment</w:t>
      </w:r>
    </w:p>
    <w:p>
      <w:pPr>
        <w:spacing w:before="0" w:after="80" w:line="252" w:lineRule="auto"/>
      </w:pPr>
      <w:r>
        <w:rPr>
          <w:rFonts w:ascii="Arimo" w:hAnsi="Arimo" w:eastAsia="Arimo"/>
          <w:b w:val="0"/>
          <w:i w:val="0"/>
          <w:color w:val="657084"/>
          <w:sz w:val="22"/>
        </w:rPr>
        <w:t>Make sure everyday work connects to organizational direction.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48"/>
        <w:gridCol w:w="5112"/>
        <w:gridCol w:w="4392"/>
      </w:tblGrid>
      <w:tr>
        <w:tc>
          <w:tcPr>
            <w:tcW w:type="dxa" w:w="3504"/>
            <w:shd w:fill="06275A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</w:r>
          </w:p>
        </w:tc>
        <w:tc>
          <w:tcPr>
            <w:tcW w:type="dxa" w:w="3504"/>
            <w:shd w:fill="06275A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  <w:t>CHECKPOINT</w:t>
            </w:r>
          </w:p>
        </w:tc>
        <w:tc>
          <w:tcPr>
            <w:tcW w:type="dxa" w:w="3504"/>
            <w:shd w:fill="06275A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  <w:t>NOTES / EVIDENCE</w:t>
            </w:r>
          </w:p>
        </w:tc>
      </w:tr>
      <w:tr>
        <w:tc>
          <w:tcPr>
            <w:tcW w:type="dxa" w:w="350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 w:val="0"/>
                <w:i w:val="0"/>
                <w:color w:val="06275A"/>
                <w:sz w:val="22"/>
              </w:rPr>
              <w:t>□</w:t>
            </w:r>
          </w:p>
        </w:tc>
        <w:tc>
          <w:tcPr>
            <w:tcW w:type="dxa" w:w="350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Leadership and staff can explain the organization's mission, vision, and current priorities.</w:t>
            </w:r>
          </w:p>
        </w:tc>
        <w:tc>
          <w:tcPr>
            <w:tcW w:type="dxa" w:w="350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</w:tr>
      <w:tr>
        <w:tc>
          <w:tcPr>
            <w:tcW w:type="dxa" w:w="3504"/>
            <w:shd w:fill="F8F9FA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 w:val="0"/>
                <w:i w:val="0"/>
                <w:color w:val="06275A"/>
                <w:sz w:val="22"/>
              </w:rPr>
              <w:t>□</w:t>
            </w:r>
          </w:p>
        </w:tc>
        <w:tc>
          <w:tcPr>
            <w:tcW w:type="dxa" w:w="3504"/>
            <w:shd w:fill="F8F9FA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Programs, projects, and major investments can be linked to a strategic priority.</w:t>
            </w:r>
          </w:p>
        </w:tc>
        <w:tc>
          <w:tcPr>
            <w:tcW w:type="dxa" w:w="3504"/>
            <w:shd w:fill="F8F9FA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</w:tr>
      <w:tr>
        <w:tc>
          <w:tcPr>
            <w:tcW w:type="dxa" w:w="350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 w:val="0"/>
                <w:i w:val="0"/>
                <w:color w:val="06275A"/>
                <w:sz w:val="22"/>
              </w:rPr>
              <w:t>□</w:t>
            </w:r>
          </w:p>
        </w:tc>
        <w:tc>
          <w:tcPr>
            <w:tcW w:type="dxa" w:w="350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There is a shared understanding of what the organization will stop, start, and continue.</w:t>
            </w:r>
          </w:p>
        </w:tc>
        <w:tc>
          <w:tcPr>
            <w:tcW w:type="dxa" w:w="350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</w:tr>
      <w:tr>
        <w:tc>
          <w:tcPr>
            <w:tcW w:type="dxa" w:w="3504"/>
            <w:shd w:fill="F8F9FA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 w:val="0"/>
                <w:i w:val="0"/>
                <w:color w:val="06275A"/>
                <w:sz w:val="22"/>
              </w:rPr>
              <w:t>□</w:t>
            </w:r>
          </w:p>
        </w:tc>
        <w:tc>
          <w:tcPr>
            <w:tcW w:type="dxa" w:w="3504"/>
            <w:shd w:fill="F8F9FA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Competing priorities are resolved through an agreed decision process.</w:t>
            </w:r>
          </w:p>
        </w:tc>
        <w:tc>
          <w:tcPr>
            <w:tcW w:type="dxa" w:w="3504"/>
            <w:shd w:fill="F8F9FA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</w:tr>
    </w:tbl>
    <w:p>
      <w:pPr>
        <w:spacing w:before="160" w:after="20" w:line="252" w:lineRule="auto"/>
      </w:pPr>
      <w:r>
        <w:rPr>
          <w:rFonts w:ascii="Arimo" w:hAnsi="Arimo" w:eastAsia="Arimo"/>
          <w:b/>
          <w:i w:val="0"/>
          <w:color w:val="06275A"/>
          <w:sz w:val="28"/>
        </w:rPr>
        <w:t>2. Structure + Governance</w:t>
      </w:r>
    </w:p>
    <w:p>
      <w:pPr>
        <w:spacing w:before="0" w:after="80" w:line="252" w:lineRule="auto"/>
      </w:pPr>
      <w:r>
        <w:rPr>
          <w:rFonts w:ascii="Arimo" w:hAnsi="Arimo" w:eastAsia="Arimo"/>
          <w:b w:val="0"/>
          <w:i w:val="0"/>
          <w:color w:val="657084"/>
          <w:sz w:val="22"/>
        </w:rPr>
        <w:t>Align roles, authority, and capacity with the work that matters most.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48"/>
        <w:gridCol w:w="5112"/>
        <w:gridCol w:w="4392"/>
      </w:tblGrid>
      <w:tr>
        <w:tc>
          <w:tcPr>
            <w:tcW w:type="dxa" w:w="3504"/>
            <w:shd w:fill="06275A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</w:r>
          </w:p>
        </w:tc>
        <w:tc>
          <w:tcPr>
            <w:tcW w:type="dxa" w:w="3504"/>
            <w:shd w:fill="06275A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  <w:t>CHECKPOINT</w:t>
            </w:r>
          </w:p>
        </w:tc>
        <w:tc>
          <w:tcPr>
            <w:tcW w:type="dxa" w:w="3504"/>
            <w:shd w:fill="06275A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  <w:t>NOTES / EVIDENCE</w:t>
            </w:r>
          </w:p>
        </w:tc>
      </w:tr>
      <w:tr>
        <w:tc>
          <w:tcPr>
            <w:tcW w:type="dxa" w:w="350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 w:val="0"/>
                <w:i w:val="0"/>
                <w:color w:val="06275A"/>
                <w:sz w:val="22"/>
              </w:rPr>
              <w:t>□</w:t>
            </w:r>
          </w:p>
        </w:tc>
        <w:tc>
          <w:tcPr>
            <w:tcW w:type="dxa" w:w="350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Leadership, staff, board, and committee roles are clearly defined.</w:t>
            </w:r>
          </w:p>
        </w:tc>
        <w:tc>
          <w:tcPr>
            <w:tcW w:type="dxa" w:w="350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</w:tr>
      <w:tr>
        <w:tc>
          <w:tcPr>
            <w:tcW w:type="dxa" w:w="3504"/>
            <w:shd w:fill="F8F9FA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 w:val="0"/>
                <w:i w:val="0"/>
                <w:color w:val="06275A"/>
                <w:sz w:val="22"/>
              </w:rPr>
              <w:t>□</w:t>
            </w:r>
          </w:p>
        </w:tc>
        <w:tc>
          <w:tcPr>
            <w:tcW w:type="dxa" w:w="3504"/>
            <w:shd w:fill="F8F9FA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Decision rights and escalation paths are understood.</w:t>
            </w:r>
          </w:p>
        </w:tc>
        <w:tc>
          <w:tcPr>
            <w:tcW w:type="dxa" w:w="3504"/>
            <w:shd w:fill="F8F9FA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</w:tr>
      <w:tr>
        <w:tc>
          <w:tcPr>
            <w:tcW w:type="dxa" w:w="350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 w:val="0"/>
                <w:i w:val="0"/>
                <w:color w:val="06275A"/>
                <w:sz w:val="22"/>
              </w:rPr>
              <w:t>□</w:t>
            </w:r>
          </w:p>
        </w:tc>
        <w:tc>
          <w:tcPr>
            <w:tcW w:type="dxa" w:w="350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The organizational structure reflects current programs, priorities, and workload.</w:t>
            </w:r>
          </w:p>
        </w:tc>
        <w:tc>
          <w:tcPr>
            <w:tcW w:type="dxa" w:w="350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</w:tr>
      <w:tr>
        <w:tc>
          <w:tcPr>
            <w:tcW w:type="dxa" w:w="3504"/>
            <w:shd w:fill="F8F9FA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 w:val="0"/>
                <w:i w:val="0"/>
                <w:color w:val="06275A"/>
                <w:sz w:val="22"/>
              </w:rPr>
              <w:t>□</w:t>
            </w:r>
          </w:p>
        </w:tc>
        <w:tc>
          <w:tcPr>
            <w:tcW w:type="dxa" w:w="3504"/>
            <w:shd w:fill="F8F9FA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Capacity gaps in people, skills, funding, technology, or partnerships are visible and addressed.</w:t>
            </w:r>
          </w:p>
        </w:tc>
        <w:tc>
          <w:tcPr>
            <w:tcW w:type="dxa" w:w="3504"/>
            <w:shd w:fill="F8F9FA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624"/>
        <w:gridCol w:w="3168"/>
      </w:tblGrid>
      <w:tr>
        <w:tc>
          <w:tcPr>
            <w:tcW w:type="dxa" w:w="5256"/>
            <w:vAlign w:val="center"/>
            <w:tcBorders>
              <w:bottom w:val="nil"/>
            </w:tcBorders>
          </w:tcPr>
          <w:p>
            <w:pPr>
              <w:jc w:val="left"/>
            </w:pPr>
            <w:r>
              <w:rPr>
                <w:rFonts w:ascii="Arimo" w:hAnsi="Arimo" w:eastAsia="Arimo"/>
                <w:b/>
                <w:i w:val="0"/>
                <w:color w:val="C99B2C"/>
                <w:sz w:val="22"/>
              </w:rPr>
              <w:t>CAMPBELL CHECKLIST SERIES</w:t>
            </w:r>
          </w:p>
        </w:tc>
        <w:tc>
          <w:tcPr>
            <w:tcW w:type="dxa" w:w="5256"/>
            <w:vAlign w:val="center"/>
            <w:tcBorders>
              <w:bottom w:val="nil"/>
            </w:tcBorders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828800" cy="385205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mpbell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38520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160" w:after="20" w:line="252" w:lineRule="auto"/>
      </w:pPr>
      <w:r>
        <w:rPr>
          <w:rFonts w:ascii="Arimo" w:hAnsi="Arimo" w:eastAsia="Arimo"/>
          <w:b/>
          <w:i w:val="0"/>
          <w:color w:val="06275A"/>
          <w:sz w:val="28"/>
        </w:rPr>
        <w:t>3. Operations + Handoffs</w:t>
      </w:r>
    </w:p>
    <w:p>
      <w:pPr>
        <w:spacing w:before="0" w:after="80" w:line="252" w:lineRule="auto"/>
      </w:pPr>
      <w:r>
        <w:rPr>
          <w:rFonts w:ascii="Arimo" w:hAnsi="Arimo" w:eastAsia="Arimo"/>
          <w:b w:val="0"/>
          <w:i w:val="0"/>
          <w:color w:val="657084"/>
          <w:sz w:val="22"/>
        </w:rPr>
        <w:t>Reduce friction by making the operating model clear.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48"/>
        <w:gridCol w:w="5112"/>
        <w:gridCol w:w="4392"/>
      </w:tblGrid>
      <w:tr>
        <w:tc>
          <w:tcPr>
            <w:tcW w:type="dxa" w:w="3504"/>
            <w:shd w:fill="06275A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</w:r>
          </w:p>
        </w:tc>
        <w:tc>
          <w:tcPr>
            <w:tcW w:type="dxa" w:w="3504"/>
            <w:shd w:fill="06275A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  <w:t>CHECKPOINT</w:t>
            </w:r>
          </w:p>
        </w:tc>
        <w:tc>
          <w:tcPr>
            <w:tcW w:type="dxa" w:w="3504"/>
            <w:shd w:fill="06275A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  <w:t>NOTES / EVIDENCE</w:t>
            </w:r>
          </w:p>
        </w:tc>
      </w:tr>
      <w:tr>
        <w:tc>
          <w:tcPr>
            <w:tcW w:type="dxa" w:w="350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 w:val="0"/>
                <w:i w:val="0"/>
                <w:color w:val="06275A"/>
                <w:sz w:val="22"/>
              </w:rPr>
              <w:t>□</w:t>
            </w:r>
          </w:p>
        </w:tc>
        <w:tc>
          <w:tcPr>
            <w:tcW w:type="dxa" w:w="350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Critical recurring processes are documented and consistently followed.</w:t>
            </w:r>
          </w:p>
        </w:tc>
        <w:tc>
          <w:tcPr>
            <w:tcW w:type="dxa" w:w="350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</w:tr>
      <w:tr>
        <w:tc>
          <w:tcPr>
            <w:tcW w:type="dxa" w:w="3504"/>
            <w:shd w:fill="F8F9FA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 w:val="0"/>
                <w:i w:val="0"/>
                <w:color w:val="06275A"/>
                <w:sz w:val="22"/>
              </w:rPr>
              <w:t>□</w:t>
            </w:r>
          </w:p>
        </w:tc>
        <w:tc>
          <w:tcPr>
            <w:tcW w:type="dxa" w:w="3504"/>
            <w:shd w:fill="F8F9FA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Systems and tools support the work instead of creating duplicate or manual effort.</w:t>
            </w:r>
          </w:p>
        </w:tc>
        <w:tc>
          <w:tcPr>
            <w:tcW w:type="dxa" w:w="3504"/>
            <w:shd w:fill="F8F9FA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</w:tr>
      <w:tr>
        <w:tc>
          <w:tcPr>
            <w:tcW w:type="dxa" w:w="350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 w:val="0"/>
                <w:i w:val="0"/>
                <w:color w:val="06275A"/>
                <w:sz w:val="22"/>
              </w:rPr>
              <w:t>□</w:t>
            </w:r>
          </w:p>
        </w:tc>
        <w:tc>
          <w:tcPr>
            <w:tcW w:type="dxa" w:w="350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Meetings, reports, and approval routines reinforce strategic priorities.</w:t>
            </w:r>
          </w:p>
        </w:tc>
        <w:tc>
          <w:tcPr>
            <w:tcW w:type="dxa" w:w="350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</w:tr>
      <w:tr>
        <w:tc>
          <w:tcPr>
            <w:tcW w:type="dxa" w:w="3504"/>
            <w:shd w:fill="F8F9FA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 w:val="0"/>
                <w:i w:val="0"/>
                <w:color w:val="06275A"/>
                <w:sz w:val="22"/>
              </w:rPr>
              <w:t>□</w:t>
            </w:r>
          </w:p>
        </w:tc>
        <w:tc>
          <w:tcPr>
            <w:tcW w:type="dxa" w:w="3504"/>
            <w:shd w:fill="F8F9FA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Cross-functional handoffs identify ownership, timing, inputs, and expected outputs.</w:t>
            </w:r>
          </w:p>
        </w:tc>
        <w:tc>
          <w:tcPr>
            <w:tcW w:type="dxa" w:w="3504"/>
            <w:shd w:fill="F8F9FA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</w:tr>
    </w:tbl>
    <w:p>
      <w:pPr>
        <w:spacing w:before="160" w:after="20" w:line="252" w:lineRule="auto"/>
      </w:pPr>
      <w:r>
        <w:rPr>
          <w:rFonts w:ascii="Arimo" w:hAnsi="Arimo" w:eastAsia="Arimo"/>
          <w:b/>
          <w:i w:val="0"/>
          <w:color w:val="06275A"/>
          <w:sz w:val="28"/>
        </w:rPr>
        <w:t>4. Measurement + Accountability</w:t>
      </w:r>
    </w:p>
    <w:p>
      <w:pPr>
        <w:spacing w:before="0" w:after="80" w:line="252" w:lineRule="auto"/>
      </w:pPr>
      <w:r>
        <w:rPr>
          <w:rFonts w:ascii="Arimo" w:hAnsi="Arimo" w:eastAsia="Arimo"/>
          <w:b w:val="0"/>
          <w:i w:val="0"/>
          <w:color w:val="657084"/>
          <w:sz w:val="22"/>
        </w:rPr>
        <w:t>Create a shared view of performance and a routine for action.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48"/>
        <w:gridCol w:w="5112"/>
        <w:gridCol w:w="4392"/>
      </w:tblGrid>
      <w:tr>
        <w:tc>
          <w:tcPr>
            <w:tcW w:type="dxa" w:w="3504"/>
            <w:shd w:fill="06275A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</w:r>
          </w:p>
        </w:tc>
        <w:tc>
          <w:tcPr>
            <w:tcW w:type="dxa" w:w="3504"/>
            <w:shd w:fill="06275A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  <w:t>CHECKPOINT</w:t>
            </w:r>
          </w:p>
        </w:tc>
        <w:tc>
          <w:tcPr>
            <w:tcW w:type="dxa" w:w="3504"/>
            <w:shd w:fill="06275A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  <w:t>NOTES / EVIDENCE</w:t>
            </w:r>
          </w:p>
        </w:tc>
      </w:tr>
      <w:tr>
        <w:tc>
          <w:tcPr>
            <w:tcW w:type="dxa" w:w="350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 w:val="0"/>
                <w:i w:val="0"/>
                <w:color w:val="06275A"/>
                <w:sz w:val="22"/>
              </w:rPr>
              <w:t>□</w:t>
            </w:r>
          </w:p>
        </w:tc>
        <w:tc>
          <w:tcPr>
            <w:tcW w:type="dxa" w:w="350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Leaders use a focused set of KPIs or outcome measures to assess progress.</w:t>
            </w:r>
          </w:p>
        </w:tc>
        <w:tc>
          <w:tcPr>
            <w:tcW w:type="dxa" w:w="350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</w:tr>
      <w:tr>
        <w:tc>
          <w:tcPr>
            <w:tcW w:type="dxa" w:w="3504"/>
            <w:shd w:fill="F8F9FA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 w:val="0"/>
                <w:i w:val="0"/>
                <w:color w:val="06275A"/>
                <w:sz w:val="22"/>
              </w:rPr>
              <w:t>□</w:t>
            </w:r>
          </w:p>
        </w:tc>
        <w:tc>
          <w:tcPr>
            <w:tcW w:type="dxa" w:w="3504"/>
            <w:shd w:fill="F8F9FA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Performance information is reviewed on a predictable cadence.</w:t>
            </w:r>
          </w:p>
        </w:tc>
        <w:tc>
          <w:tcPr>
            <w:tcW w:type="dxa" w:w="3504"/>
            <w:shd w:fill="F8F9FA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</w:tr>
      <w:tr>
        <w:tc>
          <w:tcPr>
            <w:tcW w:type="dxa" w:w="350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 w:val="0"/>
                <w:i w:val="0"/>
                <w:color w:val="06275A"/>
                <w:sz w:val="22"/>
              </w:rPr>
              <w:t>□</w:t>
            </w:r>
          </w:p>
        </w:tc>
        <w:tc>
          <w:tcPr>
            <w:tcW w:type="dxa" w:w="350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Owners are accountable for follow-through on commitments and corrective actions.</w:t>
            </w:r>
          </w:p>
        </w:tc>
        <w:tc>
          <w:tcPr>
            <w:tcW w:type="dxa" w:w="350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</w:tr>
      <w:tr>
        <w:tc>
          <w:tcPr>
            <w:tcW w:type="dxa" w:w="3504"/>
            <w:shd w:fill="F8F9FA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 w:val="0"/>
                <w:i w:val="0"/>
                <w:color w:val="06275A"/>
                <w:sz w:val="22"/>
              </w:rPr>
              <w:t>□</w:t>
            </w:r>
          </w:p>
        </w:tc>
        <w:tc>
          <w:tcPr>
            <w:tcW w:type="dxa" w:w="3504"/>
            <w:shd w:fill="F8F9FA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Staff feedback, lessons learned, and performance trends inform continuous improvement.</w:t>
            </w:r>
          </w:p>
        </w:tc>
        <w:tc>
          <w:tcPr>
            <w:tcW w:type="dxa" w:w="3504"/>
            <w:shd w:fill="F8F9FA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</w:tr>
    </w:tbl>
    <w:p>
      <w:pPr>
        <w:spacing w:before="160" w:after="80" w:line="252" w:lineRule="auto"/>
      </w:pPr>
      <w:r>
        <w:rPr>
          <w:rFonts w:ascii="Arimo" w:hAnsi="Arimo" w:eastAsia="Arimo"/>
          <w:b/>
          <w:i w:val="0"/>
          <w:color w:val="06275A"/>
          <w:sz w:val="28"/>
        </w:rPr>
        <w:t>Readiness / Health Signal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3384"/>
        <w:gridCol w:w="3384"/>
      </w:tblGrid>
      <w:tr>
        <w:tc>
          <w:tcPr>
            <w:tcW w:type="dxa" w:w="3504"/>
            <w:shd w:fill="F6F3EB"/>
            <w:tcMar>
              <w:top w:w="110" w:type="dxa"/>
              <w:start w:w="90" w:type="dxa"/>
              <w:bottom w:w="110" w:type="dxa"/>
              <w:end w:w="90" w:type="dxa"/>
            </w:tcMar>
            <w:tcBorders>
              <w:top w:val="single" w:sz="3" w:color="E2DCCF"/>
              <w:left w:val="single" w:sz="3" w:color="E2DCCF"/>
              <w:bottom w:val="single" w:sz="3" w:color="E2DCCF"/>
              <w:right w:val="single" w:sz="3" w:color="E2DCCF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/>
                <w:i w:val="0"/>
                <w:color w:val="17233A"/>
                <w:sz w:val="22"/>
              </w:rPr>
              <w:t>13-16 checked</w:t>
              <w:br/>
              <w:t>Strong organizational alignment</w:t>
            </w:r>
          </w:p>
        </w:tc>
        <w:tc>
          <w:tcPr>
            <w:tcW w:type="dxa" w:w="3504"/>
            <w:shd w:fill="F6F3EB"/>
            <w:tcMar>
              <w:top w:w="110" w:type="dxa"/>
              <w:start w:w="90" w:type="dxa"/>
              <w:bottom w:w="110" w:type="dxa"/>
              <w:end w:w="90" w:type="dxa"/>
            </w:tcMar>
            <w:tcBorders>
              <w:top w:val="single" w:sz="3" w:color="E2DCCF"/>
              <w:left w:val="single" w:sz="3" w:color="E2DCCF"/>
              <w:bottom w:val="single" w:sz="3" w:color="E2DCCF"/>
              <w:right w:val="single" w:sz="3" w:color="E2DCCF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/>
                <w:i w:val="0"/>
                <w:color w:val="17233A"/>
                <w:sz w:val="22"/>
              </w:rPr>
              <w:t>9-12 checked</w:t>
              <w:br/>
              <w:t>Alignment gaps to address</w:t>
            </w:r>
          </w:p>
        </w:tc>
        <w:tc>
          <w:tcPr>
            <w:tcW w:type="dxa" w:w="3504"/>
            <w:shd w:fill="F8F4F3"/>
            <w:tcMar>
              <w:top w:w="110" w:type="dxa"/>
              <w:start w:w="90" w:type="dxa"/>
              <w:bottom w:w="110" w:type="dxa"/>
              <w:end w:w="90" w:type="dxa"/>
            </w:tcMar>
            <w:tcBorders>
              <w:top w:val="single" w:sz="3" w:color="E2DCCF"/>
              <w:left w:val="single" w:sz="3" w:color="E2DCCF"/>
              <w:bottom w:val="single" w:sz="3" w:color="E2DCCF"/>
              <w:right w:val="single" w:sz="3" w:color="E2DCCF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/>
                <w:i w:val="0"/>
                <w:color w:val="17233A"/>
                <w:sz w:val="22"/>
              </w:rPr>
              <w:t>0-8 checked</w:t>
              <w:br/>
              <w:t>Significant fragmentation risk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624"/>
        <w:gridCol w:w="3168"/>
      </w:tblGrid>
      <w:tr>
        <w:tc>
          <w:tcPr>
            <w:tcW w:type="dxa" w:w="5256"/>
            <w:vAlign w:val="center"/>
            <w:tcBorders>
              <w:bottom w:val="nil"/>
            </w:tcBorders>
          </w:tcPr>
          <w:p>
            <w:pPr>
              <w:jc w:val="left"/>
            </w:pPr>
            <w:r>
              <w:rPr>
                <w:rFonts w:ascii="Arimo" w:hAnsi="Arimo" w:eastAsia="Arimo"/>
                <w:b/>
                <w:i w:val="0"/>
                <w:color w:val="C99B2C"/>
                <w:sz w:val="22"/>
              </w:rPr>
              <w:t>CAMPBELL CHECKLIST SERIES</w:t>
            </w:r>
          </w:p>
        </w:tc>
        <w:tc>
          <w:tcPr>
            <w:tcW w:type="dxa" w:w="5256"/>
            <w:vAlign w:val="center"/>
            <w:tcBorders>
              <w:bottom w:val="nil"/>
            </w:tcBorders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828800" cy="385205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mpbell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38520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120" w:after="60" w:line="252" w:lineRule="auto"/>
      </w:pPr>
      <w:r>
        <w:rPr>
          <w:rFonts w:ascii="Arimo" w:hAnsi="Arimo" w:eastAsia="Arimo"/>
          <w:b/>
          <w:i w:val="0"/>
          <w:color w:val="06275A"/>
          <w:sz w:val="28"/>
        </w:rPr>
        <w:t>Action Plan</w:t>
      </w:r>
    </w:p>
    <w:p>
      <w:pPr>
        <w:spacing w:before="40" w:after="40" w:line="252" w:lineRule="auto"/>
      </w:pPr>
      <w:r>
        <w:rPr>
          <w:rFonts w:ascii="Arimo" w:hAnsi="Arimo" w:eastAsia="Arimo"/>
          <w:b/>
          <w:i w:val="0"/>
          <w:color w:val="17233A"/>
          <w:sz w:val="22"/>
        </w:rPr>
        <w:t>Where is misalignment creating the greatest organizational friction?</w:t>
      </w:r>
    </w:p>
    <w:p>
      <w:pPr>
        <w:spacing w:before="0" w:after="100" w:line="252" w:lineRule="auto"/>
      </w:pPr>
      <w:r>
        <w:rPr>
          <w:rFonts w:ascii="Arimo" w:hAnsi="Arimo" w:eastAsia="Arimo"/>
          <w:b w:val="0"/>
          <w:i w:val="0"/>
          <w:color w:val="657084"/>
          <w:sz w:val="22"/>
        </w:rPr>
        <w:t>________________________________________________________________________________</w:t>
      </w:r>
    </w:p>
    <w:p>
      <w:pPr>
        <w:spacing w:before="40" w:after="80" w:line="252" w:lineRule="auto"/>
      </w:pPr>
      <w:r>
        <w:rPr>
          <w:rFonts w:ascii="Arimo" w:hAnsi="Arimo" w:eastAsia="Arimo"/>
          <w:b/>
          <w:i w:val="0"/>
          <w:color w:val="06275A"/>
          <w:sz w:val="28"/>
        </w:rPr>
        <w:t>Next Actions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760"/>
        <w:gridCol w:w="2304"/>
        <w:gridCol w:w="2160"/>
      </w:tblGrid>
      <w:tr>
        <w:tc>
          <w:tcPr>
            <w:tcW w:type="dxa" w:w="3504"/>
            <w:shd w:fill="06275A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  <w:t>ACTION / DECISION</w:t>
            </w:r>
          </w:p>
        </w:tc>
        <w:tc>
          <w:tcPr>
            <w:tcW w:type="dxa" w:w="3504"/>
            <w:shd w:fill="06275A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  <w:t>OWNER</w:t>
            </w:r>
          </w:p>
        </w:tc>
        <w:tc>
          <w:tcPr>
            <w:tcW w:type="dxa" w:w="3504"/>
            <w:shd w:fill="06275A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  <w:t>DUE DATE</w:t>
            </w:r>
          </w:p>
        </w:tc>
      </w:tr>
      <w:tr>
        <w:tc>
          <w:tcPr>
            <w:tcW w:type="dxa" w:w="3504"/>
            <w:tcMar>
              <w:top w:w="160" w:type="dxa"/>
              <w:start w:w="90" w:type="dxa"/>
              <w:bottom w:w="16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/>
        </w:tc>
        <w:tc>
          <w:tcPr>
            <w:tcW w:type="dxa" w:w="3504"/>
            <w:tcMar>
              <w:top w:w="160" w:type="dxa"/>
              <w:start w:w="90" w:type="dxa"/>
              <w:bottom w:w="16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/>
        </w:tc>
        <w:tc>
          <w:tcPr>
            <w:tcW w:type="dxa" w:w="3504"/>
            <w:tcMar>
              <w:top w:w="160" w:type="dxa"/>
              <w:start w:w="90" w:type="dxa"/>
              <w:bottom w:w="16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/>
        </w:tc>
      </w:tr>
      <w:tr>
        <w:tc>
          <w:tcPr>
            <w:tcW w:type="dxa" w:w="3504"/>
            <w:tcMar>
              <w:top w:w="160" w:type="dxa"/>
              <w:start w:w="90" w:type="dxa"/>
              <w:bottom w:w="16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/>
        </w:tc>
        <w:tc>
          <w:tcPr>
            <w:tcW w:type="dxa" w:w="3504"/>
            <w:tcMar>
              <w:top w:w="160" w:type="dxa"/>
              <w:start w:w="90" w:type="dxa"/>
              <w:bottom w:w="16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/>
        </w:tc>
        <w:tc>
          <w:tcPr>
            <w:tcW w:type="dxa" w:w="3504"/>
            <w:tcMar>
              <w:top w:w="160" w:type="dxa"/>
              <w:start w:w="90" w:type="dxa"/>
              <w:bottom w:w="16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/>
        </w:tc>
      </w:tr>
      <w:tr>
        <w:tc>
          <w:tcPr>
            <w:tcW w:type="dxa" w:w="3504"/>
            <w:tcMar>
              <w:top w:w="160" w:type="dxa"/>
              <w:start w:w="90" w:type="dxa"/>
              <w:bottom w:w="16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/>
        </w:tc>
        <w:tc>
          <w:tcPr>
            <w:tcW w:type="dxa" w:w="3504"/>
            <w:tcMar>
              <w:top w:w="160" w:type="dxa"/>
              <w:start w:w="90" w:type="dxa"/>
              <w:bottom w:w="16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/>
        </w:tc>
        <w:tc>
          <w:tcPr>
            <w:tcW w:type="dxa" w:w="3504"/>
            <w:tcMar>
              <w:top w:w="160" w:type="dxa"/>
              <w:start w:w="90" w:type="dxa"/>
              <w:bottom w:w="16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/>
        </w:tc>
      </w:tr>
    </w:tbl>
    <w:p>
      <w:pPr>
        <w:spacing w:before="120" w:after="0" w:line="252" w:lineRule="auto"/>
      </w:pPr>
      <w:r>
        <w:rPr>
          <w:rFonts w:ascii="Arimo" w:hAnsi="Arimo" w:eastAsia="Arimo"/>
          <w:b w:val="0"/>
          <w:i/>
          <w:color w:val="657084"/>
          <w:sz w:val="22"/>
        </w:rPr>
        <w:t>Adoption tip: assign one owner to maintain this tool, store it with your operating or project documents, and revisit it on a predictable cadence.</w:t>
      </w:r>
    </w:p>
    <w:sectPr w:rsidR="00FC693F" w:rsidRPr="0006063C" w:rsidSect="00034616">
      <w:footerReference w:type="default" r:id="rId10"/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mo" w:hAnsi="Arimo" w:eastAsia="Arimo"/>
        <w:b/>
        <w:i w:val="0"/>
        <w:color w:val="06275A"/>
        <w:sz w:val="18"/>
      </w:rPr>
      <w:t>CAMPBELL  |  STRATEGY. EXECUTION. IMPACT.  |  campbellconsults.com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mo" w:hAnsi="Arimo" w:eastAsia="Arimo"/>
      <w:color w:val="17233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