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052659"/>
          <w:sz w:val="44"/>
        </w:rPr>
        <w:t>AI Acceptable Use Position</w:t>
      </w:r>
    </w:p>
    <w:p>
      <w:r>
        <w:rPr>
          <w:rFonts w:ascii="Calibri" w:hAnsi="Calibri"/>
          <w:b w:val="0"/>
          <w:i w:val="0"/>
          <w:color w:val="A87C28"/>
          <w:sz w:val="18"/>
        </w:rPr>
        <w:t>Campbell Group Consulting, LLC  |  www.campbellconsults.com</w:t>
      </w:r>
    </w:p>
    <w:p>
      <w:r>
        <w:rPr>
          <w:rFonts w:ascii="Calibri" w:hAnsi="Calibri"/>
          <w:b w:val="0"/>
          <w:i/>
          <w:color w:val="6B7280"/>
          <w:sz w:val="20"/>
        </w:rPr>
        <w:t>Complete each section and keep the whole thing to one page. Adopted by the board, owned by a named person, and reviewed on a date you set now.</w:t>
      </w:r>
    </w:p>
    <w:tbl>
      <w:tblPr>
        <w:tblStyle w:val="TableGrid"/>
        <w:tblW w:type="auto" w:w="0"/>
        <w:tblLook w:firstColumn="1" w:firstRow="1" w:lastColumn="0" w:lastRow="0" w:noHBand="0" w:noVBand="1" w:val="04A0"/>
      </w:tblPr>
      <w:tblGrid>
        <w:gridCol w:w="2412"/>
        <w:gridCol w:w="2412"/>
        <w:gridCol w:w="2412"/>
        <w:gridCol w:w="2412"/>
      </w:tblGrid>
      <w:tr>
        <w:tc>
          <w:tcPr>
            <w:tcW w:type="dxa" w:w="2412"/>
            <w:shd w:val="clear" w:fill="EDF0F6"/>
          </w:tcPr>
          <w:p>
            <w:r/>
            <w:r>
              <w:rPr>
                <w:rFonts w:ascii="Calibri" w:hAnsi="Calibri"/>
                <w:b/>
                <w:i w:val="0"/>
                <w:color w:val="052659"/>
                <w:sz w:val="16"/>
              </w:rPr>
              <w:t>ORGANIZATION</w:t>
            </w:r>
          </w:p>
        </w:tc>
        <w:tc>
          <w:tcPr>
            <w:tcW w:type="dxa" w:w="2412"/>
            <w:shd w:val="clear" w:fill="EDF0F6"/>
          </w:tcPr>
          <w:p>
            <w:r/>
            <w:r>
              <w:rPr>
                <w:rFonts w:ascii="Calibri" w:hAnsi="Calibri"/>
                <w:b/>
                <w:i w:val="0"/>
                <w:color w:val="052659"/>
                <w:sz w:val="16"/>
              </w:rPr>
              <w:t>ADOPTED</w:t>
            </w:r>
          </w:p>
        </w:tc>
        <w:tc>
          <w:tcPr>
            <w:tcW w:type="dxa" w:w="2412"/>
            <w:shd w:val="clear" w:fill="EDF0F6"/>
          </w:tcPr>
          <w:p>
            <w:r/>
            <w:r>
              <w:rPr>
                <w:rFonts w:ascii="Calibri" w:hAnsi="Calibri"/>
                <w:b/>
                <w:i w:val="0"/>
                <w:color w:val="052659"/>
                <w:sz w:val="16"/>
              </w:rPr>
              <w:t>OWNER</w:t>
            </w:r>
          </w:p>
        </w:tc>
        <w:tc>
          <w:tcPr>
            <w:tcW w:type="dxa" w:w="2412"/>
            <w:shd w:val="clear" w:fill="EDF0F6"/>
          </w:tcPr>
          <w:p>
            <w:r/>
            <w:r>
              <w:rPr>
                <w:rFonts w:ascii="Calibri" w:hAnsi="Calibri"/>
                <w:b/>
                <w:i w:val="0"/>
                <w:color w:val="052659"/>
                <w:sz w:val="16"/>
              </w:rPr>
              <w:t>REVIEW BY</w:t>
            </w:r>
          </w:p>
        </w:tc>
      </w:tr>
      <w:tr>
        <w:tc>
          <w:tcPr>
            <w:tcW w:type="dxa" w:w="2412"/>
          </w:tcPr>
          <w:p>
            <w:r>
              <w:t xml:space="preserve"> </w:t>
            </w:r>
          </w:p>
        </w:tc>
        <w:tc>
          <w:tcPr>
            <w:tcW w:type="dxa" w:w="2412"/>
          </w:tcPr>
          <w:p>
            <w:r>
              <w:t xml:space="preserve"> </w:t>
            </w:r>
          </w:p>
        </w:tc>
        <w:tc>
          <w:tcPr>
            <w:tcW w:type="dxa" w:w="2412"/>
          </w:tcPr>
          <w:p>
            <w:r>
              <w:t xml:space="preserve"> </w:t>
            </w:r>
          </w:p>
        </w:tc>
        <w:tc>
          <w:tcPr>
            <w:tcW w:type="dxa" w:w="2412"/>
          </w:tcPr>
          <w:p>
            <w:r>
              <w:t xml:space="preserve"> </w:t>
            </w:r>
          </w:p>
        </w:tc>
      </w:tr>
    </w:tbl>
    <w:p>
      <w:pPr>
        <w:spacing w:before="320" w:after="120"/>
      </w:pPr>
      <w:r>
        <w:rPr>
          <w:rFonts w:ascii="Calibri" w:hAnsi="Calibri"/>
          <w:b/>
          <w:i w:val="0"/>
          <w:color w:val="052659"/>
          <w:sz w:val="30"/>
        </w:rPr>
        <w:t>The position</w:t>
      </w:r>
    </w:p>
    <w:p>
      <w:pPr>
        <w:spacing w:before="200" w:after="40"/>
      </w:pPr>
      <w:r>
        <w:rPr>
          <w:rFonts w:ascii="Calibri" w:hAnsi="Calibri"/>
          <w:b/>
          <w:i w:val="0"/>
          <w:color w:val="052659"/>
          <w:sz w:val="24"/>
        </w:rPr>
        <w:t>01  Permitted uses</w:t>
      </w:r>
    </w:p>
    <w:p>
      <w:pPr>
        <w:spacing w:after="60"/>
      </w:pPr>
      <w:r>
        <w:rPr>
          <w:rFonts w:ascii="Calibri" w:hAnsi="Calibri"/>
          <w:b w:val="0"/>
          <w:i/>
          <w:color w:val="6B7280"/>
          <w:sz w:val="18"/>
        </w:rPr>
        <w:t>The tasks where staff may use an approved tool.</w:t>
      </w:r>
    </w:p>
    <w:tbl>
      <w:tblPr>
        <w:tblStyle w:val="TableGrid"/>
        <w:tblW w:type="auto" w:w="0"/>
        <w:tblLook w:firstColumn="1" w:firstRow="1" w:lastColumn="0" w:lastRow="0" w:noHBand="0" w:noVBand="1" w:val="04A0"/>
      </w:tblPr>
      <w:tblGrid>
        <w:gridCol w:w="9648"/>
      </w:tblGrid>
      <w:tr>
        <w:tc>
          <w:tcPr>
            <w:tcW w:type="dxa" w:w="9648"/>
          </w:tcPr>
          <w:p>
            <w:pPr>
              <w:spacing w:after="280"/>
            </w:pPr>
            <w:r>
              <w:t xml:space="preserve"> </w:t>
            </w:r>
          </w:p>
        </w:tc>
      </w:tr>
    </w:tbl>
    <w:p>
      <w:pPr>
        <w:spacing w:before="200" w:after="40"/>
      </w:pPr>
      <w:r>
        <w:rPr>
          <w:rFonts w:ascii="Calibri" w:hAnsi="Calibri"/>
          <w:b/>
          <w:i w:val="0"/>
          <w:color w:val="052659"/>
          <w:sz w:val="24"/>
        </w:rPr>
        <w:t>02  Red lines</w:t>
      </w:r>
    </w:p>
    <w:p>
      <w:pPr>
        <w:spacing w:after="60"/>
      </w:pPr>
      <w:r>
        <w:rPr>
          <w:rFonts w:ascii="Calibri" w:hAnsi="Calibri"/>
          <w:b w:val="0"/>
          <w:i/>
          <w:color w:val="6B7280"/>
          <w:sz w:val="18"/>
        </w:rPr>
        <w:t>Information that must never be entered into any general tool.</w:t>
      </w:r>
    </w:p>
    <w:tbl>
      <w:tblPr>
        <w:tblStyle w:val="TableGrid"/>
        <w:tblW w:type="auto" w:w="0"/>
        <w:tblLook w:firstColumn="1" w:firstRow="1" w:lastColumn="0" w:lastRow="0" w:noHBand="0" w:noVBand="1" w:val="04A0"/>
      </w:tblPr>
      <w:tblGrid>
        <w:gridCol w:w="9648"/>
      </w:tblGrid>
      <w:tr>
        <w:tc>
          <w:tcPr>
            <w:tcW w:type="dxa" w:w="9648"/>
          </w:tcPr>
          <w:p>
            <w:pPr>
              <w:spacing w:after="280"/>
            </w:pPr>
            <w:r>
              <w:t xml:space="preserve"> </w:t>
            </w:r>
          </w:p>
        </w:tc>
      </w:tr>
    </w:tbl>
    <w:p>
      <w:pPr>
        <w:spacing w:before="200" w:after="40"/>
      </w:pPr>
      <w:r>
        <w:rPr>
          <w:rFonts w:ascii="Calibri" w:hAnsi="Calibri"/>
          <w:b/>
          <w:i w:val="0"/>
          <w:color w:val="052659"/>
          <w:sz w:val="24"/>
        </w:rPr>
        <w:t>03  Review</w:t>
      </w:r>
    </w:p>
    <w:p>
      <w:pPr>
        <w:spacing w:after="60"/>
      </w:pPr>
      <w:r>
        <w:rPr>
          <w:rFonts w:ascii="Calibri" w:hAnsi="Calibri"/>
          <w:b w:val="0"/>
          <w:i/>
          <w:color w:val="6B7280"/>
          <w:sz w:val="18"/>
        </w:rPr>
        <w:t>Who checks output before it reaches anyone outside the organization.</w:t>
      </w:r>
    </w:p>
    <w:tbl>
      <w:tblPr>
        <w:tblStyle w:val="TableGrid"/>
        <w:tblW w:type="auto" w:w="0"/>
        <w:tblLook w:firstColumn="1" w:firstRow="1" w:lastColumn="0" w:lastRow="0" w:noHBand="0" w:noVBand="1" w:val="04A0"/>
      </w:tblPr>
      <w:tblGrid>
        <w:gridCol w:w="9648"/>
      </w:tblGrid>
      <w:tr>
        <w:tc>
          <w:tcPr>
            <w:tcW w:type="dxa" w:w="9648"/>
          </w:tcPr>
          <w:p>
            <w:pPr>
              <w:spacing w:after="280"/>
            </w:pPr>
            <w:r>
              <w:t xml:space="preserve"> </w:t>
            </w:r>
          </w:p>
        </w:tc>
      </w:tr>
    </w:tbl>
    <w:p>
      <w:pPr>
        <w:spacing w:before="200" w:after="40"/>
      </w:pPr>
      <w:r>
        <w:rPr>
          <w:rFonts w:ascii="Calibri" w:hAnsi="Calibri"/>
          <w:b/>
          <w:i w:val="0"/>
          <w:color w:val="052659"/>
          <w:sz w:val="24"/>
        </w:rPr>
        <w:t>04  Disclosure</w:t>
      </w:r>
    </w:p>
    <w:p>
      <w:pPr>
        <w:spacing w:after="60"/>
      </w:pPr>
      <w:r>
        <w:rPr>
          <w:rFonts w:ascii="Calibri" w:hAnsi="Calibri"/>
          <w:b w:val="0"/>
          <w:i/>
          <w:color w:val="6B7280"/>
          <w:sz w:val="18"/>
        </w:rPr>
        <w:t>What we tell clients, funders, and the board about our use.</w:t>
      </w:r>
    </w:p>
    <w:tbl>
      <w:tblPr>
        <w:tblStyle w:val="TableGrid"/>
        <w:tblW w:type="auto" w:w="0"/>
        <w:tblLook w:firstColumn="1" w:firstRow="1" w:lastColumn="0" w:lastRow="0" w:noHBand="0" w:noVBand="1" w:val="04A0"/>
      </w:tblPr>
      <w:tblGrid>
        <w:gridCol w:w="9648"/>
      </w:tblGrid>
      <w:tr>
        <w:tc>
          <w:tcPr>
            <w:tcW w:type="dxa" w:w="9648"/>
          </w:tcPr>
          <w:p>
            <w:pPr>
              <w:spacing w:after="280"/>
            </w:pPr>
            <w:r>
              <w:t xml:space="preserve"> </w:t>
            </w:r>
          </w:p>
        </w:tc>
      </w:tr>
    </w:tbl>
    <w:p>
      <w:pPr>
        <w:spacing w:before="200" w:after="40"/>
      </w:pPr>
      <w:r>
        <w:rPr>
          <w:rFonts w:ascii="Calibri" w:hAnsi="Calibri"/>
          <w:b/>
          <w:i w:val="0"/>
          <w:color w:val="052659"/>
          <w:sz w:val="24"/>
        </w:rPr>
        <w:t>05  Approved tools</w:t>
      </w:r>
    </w:p>
    <w:p>
      <w:pPr>
        <w:spacing w:after="60"/>
      </w:pPr>
      <w:r>
        <w:rPr>
          <w:rFonts w:ascii="Calibri" w:hAnsi="Calibri"/>
          <w:b w:val="0"/>
          <w:i/>
          <w:color w:val="6B7280"/>
          <w:sz w:val="18"/>
        </w:rPr>
        <w:t>Which products are cleared, and who decides when that changes.</w:t>
      </w:r>
    </w:p>
    <w:tbl>
      <w:tblPr>
        <w:tblStyle w:val="TableGrid"/>
        <w:tblW w:type="auto" w:w="0"/>
        <w:tblLook w:firstColumn="1" w:firstRow="1" w:lastColumn="0" w:lastRow="0" w:noHBand="0" w:noVBand="1" w:val="04A0"/>
      </w:tblPr>
      <w:tblGrid>
        <w:gridCol w:w="9648"/>
      </w:tblGrid>
      <w:tr>
        <w:tc>
          <w:tcPr>
            <w:tcW w:type="dxa" w:w="9648"/>
          </w:tcPr>
          <w:p>
            <w:pPr>
              <w:spacing w:after="280"/>
            </w:pPr>
            <w:r>
              <w:t xml:space="preserve"> </w:t>
            </w:r>
          </w:p>
        </w:tc>
      </w:tr>
    </w:tbl>
    <w:p>
      <w:r>
        <w:br w:type="page"/>
      </w:r>
    </w:p>
    <w:p>
      <w:pPr>
        <w:spacing w:before="320" w:after="120"/>
      </w:pPr>
      <w:r>
        <w:rPr>
          <w:rFonts w:ascii="Calibri" w:hAnsi="Calibri"/>
          <w:b/>
          <w:i w:val="0"/>
          <w:color w:val="052659"/>
          <w:sz w:val="30"/>
        </w:rPr>
        <w:t>A starting list of red lines</w:t>
      </w:r>
    </w:p>
    <w:p>
      <w:r>
        <w:rPr>
          <w:rFonts w:ascii="Calibri" w:hAnsi="Calibri"/>
          <w:b w:val="0"/>
          <w:i/>
          <w:color w:val="6B7280"/>
          <w:sz w:val="19"/>
        </w:rPr>
        <w:t>Never enter these into a general tool. Adapt to your programs. Add to them; do not quietly subtract.</w:t>
      </w:r>
    </w:p>
    <w:p>
      <w:pPr>
        <w:pStyle w:val="ListBullet"/>
        <w:spacing w:after="40"/>
      </w:pPr>
      <w:r>
        <w:rPr>
          <w:rFonts w:ascii="Calibri" w:hAnsi="Calibri"/>
          <w:b w:val="0"/>
          <w:i w:val="0"/>
          <w:sz w:val="20"/>
        </w:rPr>
        <w:t>Names and contact details of people you serve</w:t>
      </w:r>
    </w:p>
    <w:p>
      <w:pPr>
        <w:pStyle w:val="ListBullet"/>
        <w:spacing w:after="40"/>
      </w:pPr>
      <w:r>
        <w:rPr>
          <w:rFonts w:ascii="Calibri" w:hAnsi="Calibri"/>
          <w:b w:val="0"/>
          <w:i w:val="0"/>
          <w:sz w:val="20"/>
        </w:rPr>
        <w:t>Immigration or citizenship status</w:t>
      </w:r>
    </w:p>
    <w:p>
      <w:pPr>
        <w:pStyle w:val="ListBullet"/>
        <w:spacing w:after="40"/>
      </w:pPr>
      <w:r>
        <w:rPr>
          <w:rFonts w:ascii="Calibri" w:hAnsi="Calibri"/>
          <w:b w:val="0"/>
          <w:i w:val="0"/>
          <w:sz w:val="20"/>
        </w:rPr>
        <w:t>Health, behavioral health, or substance use information</w:t>
      </w:r>
    </w:p>
    <w:p>
      <w:pPr>
        <w:pStyle w:val="ListBullet"/>
        <w:spacing w:after="40"/>
      </w:pPr>
      <w:r>
        <w:rPr>
          <w:rFonts w:ascii="Calibri" w:hAnsi="Calibri"/>
          <w:b w:val="0"/>
          <w:i w:val="0"/>
          <w:sz w:val="20"/>
        </w:rPr>
        <w:t>Safety details and addresses of people at risk</w:t>
      </w:r>
    </w:p>
    <w:p>
      <w:pPr>
        <w:pStyle w:val="ListBullet"/>
        <w:spacing w:after="40"/>
      </w:pPr>
      <w:r>
        <w:rPr>
          <w:rFonts w:ascii="Calibri" w:hAnsi="Calibri"/>
          <w:b w:val="0"/>
          <w:i w:val="0"/>
          <w:sz w:val="20"/>
        </w:rPr>
        <w:t>Social Security numbers and government identifiers</w:t>
      </w:r>
    </w:p>
    <w:p>
      <w:pPr>
        <w:pStyle w:val="ListBullet"/>
        <w:spacing w:after="40"/>
      </w:pPr>
      <w:r>
        <w:rPr>
          <w:rFonts w:ascii="Calibri" w:hAnsi="Calibri"/>
          <w:b w:val="0"/>
          <w:i w:val="0"/>
          <w:sz w:val="20"/>
        </w:rPr>
        <w:t>Financial account, benefit, or payment details</w:t>
      </w:r>
    </w:p>
    <w:p>
      <w:pPr>
        <w:pStyle w:val="ListBullet"/>
        <w:spacing w:after="40"/>
      </w:pPr>
      <w:r>
        <w:rPr>
          <w:rFonts w:ascii="Calibri" w:hAnsi="Calibri"/>
          <w:b w:val="0"/>
          <w:i w:val="0"/>
          <w:sz w:val="20"/>
        </w:rPr>
        <w:t>Case notes, intake narratives, and incident reports</w:t>
      </w:r>
    </w:p>
    <w:p>
      <w:pPr>
        <w:pStyle w:val="ListBullet"/>
        <w:spacing w:after="40"/>
      </w:pPr>
      <w:r>
        <w:rPr>
          <w:rFonts w:ascii="Calibri" w:hAnsi="Calibri"/>
          <w:b w:val="0"/>
          <w:i w:val="0"/>
          <w:sz w:val="20"/>
        </w:rPr>
        <w:t>Anything disclosed to you in confidence</w:t>
      </w:r>
    </w:p>
    <w:p>
      <w:pPr>
        <w:pStyle w:val="ListBullet"/>
        <w:spacing w:after="40"/>
      </w:pPr>
      <w:r>
        <w:rPr>
          <w:rFonts w:ascii="Calibri" w:hAnsi="Calibri"/>
          <w:b w:val="0"/>
          <w:i w:val="0"/>
          <w:sz w:val="20"/>
        </w:rPr>
        <w:t>Unpublished personnel, legal, or board matters</w:t>
      </w:r>
    </w:p>
    <w:p>
      <w:pPr>
        <w:spacing w:before="240"/>
      </w:pPr>
      <w:r>
        <w:rPr>
          <w:rFonts w:ascii="Calibri" w:hAnsi="Calibri"/>
          <w:b/>
          <w:i w:val="0"/>
          <w:color w:val="A87C28"/>
          <w:sz w:val="20"/>
        </w:rPr>
        <w:t xml:space="preserve">Before you adopt it. </w:t>
      </w:r>
      <w:r>
        <w:rPr>
          <w:rFonts w:ascii="Calibri" w:hAnsi="Calibri"/>
          <w:b w:val="0"/>
          <w:i w:val="0"/>
          <w:sz w:val="20"/>
        </w:rPr>
        <w:t>This is a starting point, not legal advice. HIPAA, 42 CFR Part 2, FERPA, state privacy law, and your own funder agreements may impose stricter requirements than anything listed here. Confirm your obligations with counsel before adopting a position.</w:t>
      </w:r>
    </w:p>
    <w:p>
      <w:pPr>
        <w:spacing w:before="320" w:after="120"/>
      </w:pPr>
      <w:r>
        <w:rPr>
          <w:rFonts w:ascii="Calibri" w:hAnsi="Calibri"/>
          <w:b/>
          <w:i w:val="0"/>
          <w:color w:val="052659"/>
          <w:sz w:val="30"/>
        </w:rPr>
        <w:t>How it gets written</w:t>
      </w:r>
    </w:p>
    <w:p>
      <w:pPr>
        <w:spacing w:after="80"/>
      </w:pPr>
      <w:r>
        <w:rPr>
          <w:rFonts w:ascii="Calibri" w:hAnsi="Calibri"/>
          <w:b/>
          <w:i w:val="0"/>
          <w:color w:val="052659"/>
          <w:sz w:val="21"/>
        </w:rPr>
        <w:t xml:space="preserve">01  Name what the tools are for. </w:t>
      </w:r>
      <w:r>
        <w:rPr>
          <w:rFonts w:ascii="Calibri" w:hAnsi="Calibri"/>
          <w:b w:val="0"/>
          <w:i w:val="0"/>
          <w:sz w:val="21"/>
        </w:rPr>
        <w:t>The tasks where staff may use them, in your words rather than a vendor's. Specific permission is what makes a red line credible.</w:t>
      </w:r>
    </w:p>
    <w:p>
      <w:pPr>
        <w:spacing w:after="80"/>
      </w:pPr>
      <w:r>
        <w:rPr>
          <w:rFonts w:ascii="Calibri" w:hAnsi="Calibri"/>
          <w:b/>
          <w:i w:val="0"/>
          <w:color w:val="052659"/>
          <w:sz w:val="21"/>
        </w:rPr>
        <w:t xml:space="preserve">02  Draw the red lines. </w:t>
      </w:r>
      <w:r>
        <w:rPr>
          <w:rFonts w:ascii="Calibri" w:hAnsi="Calibri"/>
          <w:b w:val="0"/>
          <w:i w:val="0"/>
          <w:sz w:val="21"/>
        </w:rPr>
        <w:t>The categories of information that must never be entered, listed explicitly enough that nobody on your staff has to interpret them.</w:t>
      </w:r>
    </w:p>
    <w:p>
      <w:pPr>
        <w:spacing w:after="80"/>
      </w:pPr>
      <w:r>
        <w:rPr>
          <w:rFonts w:ascii="Calibri" w:hAnsi="Calibri"/>
          <w:b/>
          <w:i w:val="0"/>
          <w:color w:val="052659"/>
          <w:sz w:val="21"/>
        </w:rPr>
        <w:t xml:space="preserve">03  Name who checks. </w:t>
      </w:r>
      <w:r>
        <w:rPr>
          <w:rFonts w:ascii="Calibri" w:hAnsi="Calibri"/>
          <w:b w:val="0"/>
          <w:i w:val="0"/>
          <w:sz w:val="21"/>
        </w:rPr>
        <w:t>Any output reaching a client, a funder, or the public is reviewed by a person who is accountable for it. The tool is never the last step.</w:t>
      </w:r>
    </w:p>
    <w:p>
      <w:pPr>
        <w:spacing w:after="80"/>
      </w:pPr>
      <w:r>
        <w:rPr>
          <w:rFonts w:ascii="Calibri" w:hAnsi="Calibri"/>
          <w:b/>
          <w:i w:val="0"/>
          <w:color w:val="052659"/>
          <w:sz w:val="21"/>
        </w:rPr>
        <w:t xml:space="preserve">04  Decide what you disclose. </w:t>
      </w:r>
      <w:r>
        <w:rPr>
          <w:rFonts w:ascii="Calibri" w:hAnsi="Calibri"/>
          <w:b w:val="0"/>
          <w:i w:val="0"/>
          <w:sz w:val="21"/>
        </w:rPr>
        <w:t>What you tell the people you serve, your funders, and your board. Deciding now is far easier than explaining later.</w:t>
      </w:r>
    </w:p>
    <w:p>
      <w:r>
        <w:br w:type="page"/>
      </w:r>
    </w:p>
    <w:p>
      <w:pPr>
        <w:spacing w:before="320" w:after="120"/>
      </w:pPr>
      <w:r>
        <w:rPr>
          <w:rFonts w:ascii="Calibri" w:hAnsi="Calibri"/>
          <w:b/>
          <w:i w:val="0"/>
          <w:color w:val="052659"/>
          <w:sz w:val="30"/>
        </w:rPr>
        <w:t>Twelve questions for any vendor</w:t>
      </w:r>
    </w:p>
    <w:p>
      <w:r>
        <w:rPr>
          <w:rFonts w:ascii="Calibri" w:hAnsi="Calibri"/>
          <w:b w:val="0"/>
          <w:i/>
          <w:color w:val="6B7280"/>
          <w:sz w:val="19"/>
        </w:rPr>
        <w:t>Ask all twelve before signing anything. A reassuring answer that cannot be pointed to in a contract is not an answer.</w:t>
      </w:r>
    </w:p>
    <w:tbl>
      <w:tblPr>
        <w:tblStyle w:val="TableGrid"/>
        <w:tblW w:type="auto" w:w="0"/>
        <w:tblLook w:firstColumn="1" w:firstRow="1" w:lastColumn="0" w:lastRow="0" w:noHBand="0" w:noVBand="1" w:val="04A0"/>
      </w:tblPr>
      <w:tblGrid>
        <w:gridCol w:w="3216"/>
        <w:gridCol w:w="3216"/>
        <w:gridCol w:w="3216"/>
      </w:tblGrid>
      <w:tr>
        <w:tc>
          <w:tcPr>
            <w:tcW w:type="dxa" w:w="576"/>
            <w:shd w:val="clear" w:fill="052659"/>
          </w:tcPr>
          <w:p>
            <w:r>
              <w:rPr>
                <w:color w:val="FFFFFF"/>
              </w:rPr>
            </w:r>
            <w:r>
              <w:rPr>
                <w:rFonts w:ascii="Calibri" w:hAnsi="Calibri"/>
                <w:b/>
                <w:i w:val="0"/>
                <w:color w:val="052659"/>
                <w:sz w:val="16"/>
              </w:rPr>
              <w:t>#</w:t>
            </w:r>
          </w:p>
        </w:tc>
        <w:tc>
          <w:tcPr>
            <w:tcW w:type="dxa" w:w="5184"/>
            <w:shd w:val="clear" w:fill="052659"/>
          </w:tcPr>
          <w:p>
            <w:r>
              <w:rPr>
                <w:color w:val="FFFFFF"/>
              </w:rPr>
            </w:r>
            <w:r>
              <w:rPr>
                <w:rFonts w:ascii="Calibri" w:hAnsi="Calibri"/>
                <w:b/>
                <w:i w:val="0"/>
                <w:color w:val="052659"/>
                <w:sz w:val="16"/>
              </w:rPr>
              <w:t>QUESTION</w:t>
            </w:r>
          </w:p>
        </w:tc>
        <w:tc>
          <w:tcPr>
            <w:tcW w:type="dxa" w:w="3888"/>
            <w:shd w:val="clear" w:fill="052659"/>
          </w:tcPr>
          <w:p>
            <w:r>
              <w:rPr>
                <w:color w:val="FFFFFF"/>
              </w:rPr>
            </w:r>
            <w:r>
              <w:rPr>
                <w:rFonts w:ascii="Calibri" w:hAnsi="Calibri"/>
                <w:b/>
                <w:i w:val="0"/>
                <w:color w:val="052659"/>
                <w:sz w:val="16"/>
              </w:rPr>
              <w:t>WHAT TO LISTEN FOR</w:t>
            </w:r>
          </w:p>
        </w:tc>
      </w:tr>
      <w:tr>
        <w:tc>
          <w:tcPr>
            <w:tcW w:type="dxa" w:w="576"/>
            <w:shd w:val="clear" w:fill="EDF0F6"/>
          </w:tcPr>
          <w:p>
            <w:r>
              <w:rPr>
                <w:rFonts w:ascii="Calibri" w:hAnsi="Calibri"/>
                <w:b/>
                <w:i w:val="0"/>
                <w:color w:val="A87C28"/>
                <w:sz w:val="19"/>
              </w:rPr>
              <w:t>01</w:t>
            </w:r>
          </w:p>
        </w:tc>
        <w:tc>
          <w:tcPr>
            <w:tcW w:type="dxa" w:w="5184"/>
            <w:shd w:val="clear" w:fill="EDF0F6"/>
          </w:tcPr>
          <w:p>
            <w:r>
              <w:rPr>
                <w:rFonts w:ascii="Calibri" w:hAnsi="Calibri"/>
                <w:b/>
                <w:i w:val="0"/>
                <w:color w:val="052659"/>
                <w:sz w:val="20"/>
              </w:rPr>
              <w:t>Do you train your models on what we put in?</w:t>
            </w:r>
          </w:p>
        </w:tc>
        <w:tc>
          <w:tcPr>
            <w:tcW w:type="dxa" w:w="3888"/>
            <w:shd w:val="clear" w:fill="EDF0F6"/>
          </w:tcPr>
          <w:p>
            <w:r>
              <w:rPr>
                <w:rFonts w:ascii="Calibri" w:hAnsi="Calibri"/>
                <w:b w:val="0"/>
                <w:i w:val="0"/>
                <w:sz w:val="19"/>
              </w:rPr>
              <w:t>A clear no, written in the contract, not buried in a settings page.</w:t>
            </w:r>
          </w:p>
        </w:tc>
      </w:tr>
      <w:tr>
        <w:tc>
          <w:tcPr>
            <w:tcW w:type="dxa" w:w="576"/>
          </w:tcPr>
          <w:p>
            <w:r>
              <w:rPr>
                <w:rFonts w:ascii="Calibri" w:hAnsi="Calibri"/>
                <w:b/>
                <w:i w:val="0"/>
                <w:color w:val="A87C28"/>
                <w:sz w:val="19"/>
              </w:rPr>
              <w:t>02</w:t>
            </w:r>
          </w:p>
        </w:tc>
        <w:tc>
          <w:tcPr>
            <w:tcW w:type="dxa" w:w="5184"/>
          </w:tcPr>
          <w:p>
            <w:r>
              <w:rPr>
                <w:rFonts w:ascii="Calibri" w:hAnsi="Calibri"/>
                <w:b/>
                <w:i w:val="0"/>
                <w:color w:val="052659"/>
                <w:sz w:val="20"/>
              </w:rPr>
              <w:t>Can training be turned off, and is it off by default for us?</w:t>
            </w:r>
          </w:p>
        </w:tc>
        <w:tc>
          <w:tcPr>
            <w:tcW w:type="dxa" w:w="3888"/>
          </w:tcPr>
          <w:p>
            <w:r>
              <w:rPr>
                <w:rFonts w:ascii="Calibri" w:hAnsi="Calibri"/>
                <w:b w:val="0"/>
                <w:i w:val="0"/>
                <w:sz w:val="19"/>
              </w:rPr>
              <w:t>Off by default on our plan, confirmed in writing.</w:t>
            </w:r>
          </w:p>
        </w:tc>
      </w:tr>
      <w:tr>
        <w:tc>
          <w:tcPr>
            <w:tcW w:type="dxa" w:w="576"/>
            <w:shd w:val="clear" w:fill="EDF0F6"/>
          </w:tcPr>
          <w:p>
            <w:r>
              <w:rPr>
                <w:rFonts w:ascii="Calibri" w:hAnsi="Calibri"/>
                <w:b/>
                <w:i w:val="0"/>
                <w:color w:val="A87C28"/>
                <w:sz w:val="19"/>
              </w:rPr>
              <w:t>03</w:t>
            </w:r>
          </w:p>
        </w:tc>
        <w:tc>
          <w:tcPr>
            <w:tcW w:type="dxa" w:w="5184"/>
            <w:shd w:val="clear" w:fill="EDF0F6"/>
          </w:tcPr>
          <w:p>
            <w:r>
              <w:rPr>
                <w:rFonts w:ascii="Calibri" w:hAnsi="Calibri"/>
                <w:b/>
                <w:i w:val="0"/>
                <w:color w:val="052659"/>
                <w:sz w:val="20"/>
              </w:rPr>
              <w:t>How long do you keep our inputs and outputs?</w:t>
            </w:r>
          </w:p>
        </w:tc>
        <w:tc>
          <w:tcPr>
            <w:tcW w:type="dxa" w:w="3888"/>
            <w:shd w:val="clear" w:fill="EDF0F6"/>
          </w:tcPr>
          <w:p>
            <w:r>
              <w:rPr>
                <w:rFonts w:ascii="Calibri" w:hAnsi="Calibri"/>
                <w:b w:val="0"/>
                <w:i w:val="0"/>
                <w:sz w:val="19"/>
              </w:rPr>
              <w:t>A stated number of days, not “as long as necessary.”</w:t>
            </w:r>
          </w:p>
        </w:tc>
      </w:tr>
      <w:tr>
        <w:tc>
          <w:tcPr>
            <w:tcW w:type="dxa" w:w="576"/>
          </w:tcPr>
          <w:p>
            <w:r>
              <w:rPr>
                <w:rFonts w:ascii="Calibri" w:hAnsi="Calibri"/>
                <w:b/>
                <w:i w:val="0"/>
                <w:color w:val="A87C28"/>
                <w:sz w:val="19"/>
              </w:rPr>
              <w:t>04</w:t>
            </w:r>
          </w:p>
        </w:tc>
        <w:tc>
          <w:tcPr>
            <w:tcW w:type="dxa" w:w="5184"/>
          </w:tcPr>
          <w:p>
            <w:r>
              <w:rPr>
                <w:rFonts w:ascii="Calibri" w:hAnsi="Calibri"/>
                <w:b/>
                <w:i w:val="0"/>
                <w:color w:val="052659"/>
                <w:sz w:val="20"/>
              </w:rPr>
              <w:t>Can we delete our data, and how quickly?</w:t>
            </w:r>
          </w:p>
        </w:tc>
        <w:tc>
          <w:tcPr>
            <w:tcW w:type="dxa" w:w="3888"/>
          </w:tcPr>
          <w:p>
            <w:r>
              <w:rPr>
                <w:rFonts w:ascii="Calibri" w:hAnsi="Calibri"/>
                <w:b w:val="0"/>
                <w:i w:val="0"/>
                <w:sz w:val="19"/>
              </w:rPr>
              <w:t>A deletion we can trigger ourselves, with a deadline attached.</w:t>
            </w:r>
          </w:p>
        </w:tc>
      </w:tr>
      <w:tr>
        <w:tc>
          <w:tcPr>
            <w:tcW w:type="dxa" w:w="576"/>
            <w:shd w:val="clear" w:fill="EDF0F6"/>
          </w:tcPr>
          <w:p>
            <w:r>
              <w:rPr>
                <w:rFonts w:ascii="Calibri" w:hAnsi="Calibri"/>
                <w:b/>
                <w:i w:val="0"/>
                <w:color w:val="A87C28"/>
                <w:sz w:val="19"/>
              </w:rPr>
              <w:t>05</w:t>
            </w:r>
          </w:p>
        </w:tc>
        <w:tc>
          <w:tcPr>
            <w:tcW w:type="dxa" w:w="5184"/>
            <w:shd w:val="clear" w:fill="EDF0F6"/>
          </w:tcPr>
          <w:p>
            <w:r>
              <w:rPr>
                <w:rFonts w:ascii="Calibri" w:hAnsi="Calibri"/>
                <w:b/>
                <w:i w:val="0"/>
                <w:color w:val="052659"/>
                <w:sz w:val="20"/>
              </w:rPr>
              <w:t>Where is our data stored and processed?</w:t>
            </w:r>
          </w:p>
        </w:tc>
        <w:tc>
          <w:tcPr>
            <w:tcW w:type="dxa" w:w="3888"/>
            <w:shd w:val="clear" w:fill="EDF0F6"/>
          </w:tcPr>
          <w:p>
            <w:r>
              <w:rPr>
                <w:rFonts w:ascii="Calibri" w:hAnsi="Calibri"/>
                <w:b w:val="0"/>
                <w:i w:val="0"/>
                <w:sz w:val="19"/>
              </w:rPr>
              <w:t>Named countries. Some funders and contracts care a great deal about this.</w:t>
            </w:r>
          </w:p>
        </w:tc>
      </w:tr>
      <w:tr>
        <w:tc>
          <w:tcPr>
            <w:tcW w:type="dxa" w:w="576"/>
          </w:tcPr>
          <w:p>
            <w:r>
              <w:rPr>
                <w:rFonts w:ascii="Calibri" w:hAnsi="Calibri"/>
                <w:b/>
                <w:i w:val="0"/>
                <w:color w:val="A87C28"/>
                <w:sz w:val="19"/>
              </w:rPr>
              <w:t>06</w:t>
            </w:r>
          </w:p>
        </w:tc>
        <w:tc>
          <w:tcPr>
            <w:tcW w:type="dxa" w:w="5184"/>
          </w:tcPr>
          <w:p>
            <w:r>
              <w:rPr>
                <w:rFonts w:ascii="Calibri" w:hAnsi="Calibri"/>
                <w:b/>
                <w:i w:val="0"/>
                <w:color w:val="052659"/>
                <w:sz w:val="20"/>
              </w:rPr>
              <w:t>Who at your company can see our content, and when?</w:t>
            </w:r>
          </w:p>
        </w:tc>
        <w:tc>
          <w:tcPr>
            <w:tcW w:type="dxa" w:w="3888"/>
          </w:tcPr>
          <w:p>
            <w:r>
              <w:rPr>
                <w:rFonts w:ascii="Calibri" w:hAnsi="Calibri"/>
                <w:b w:val="0"/>
                <w:i w:val="0"/>
                <w:sz w:val="19"/>
              </w:rPr>
              <w:t>Named roles, access logging, and the specific circumstances.</w:t>
            </w:r>
          </w:p>
        </w:tc>
      </w:tr>
      <w:tr>
        <w:tc>
          <w:tcPr>
            <w:tcW w:type="dxa" w:w="576"/>
            <w:shd w:val="clear" w:fill="EDF0F6"/>
          </w:tcPr>
          <w:p>
            <w:r>
              <w:rPr>
                <w:rFonts w:ascii="Calibri" w:hAnsi="Calibri"/>
                <w:b/>
                <w:i w:val="0"/>
                <w:color w:val="A87C28"/>
                <w:sz w:val="19"/>
              </w:rPr>
              <w:t>07</w:t>
            </w:r>
          </w:p>
        </w:tc>
        <w:tc>
          <w:tcPr>
            <w:tcW w:type="dxa" w:w="5184"/>
            <w:shd w:val="clear" w:fill="EDF0F6"/>
          </w:tcPr>
          <w:p>
            <w:r>
              <w:rPr>
                <w:rFonts w:ascii="Calibri" w:hAnsi="Calibri"/>
                <w:b/>
                <w:i w:val="0"/>
                <w:color w:val="052659"/>
                <w:sz w:val="20"/>
              </w:rPr>
              <w:t>Do you use subprocessors, and who are they?</w:t>
            </w:r>
          </w:p>
        </w:tc>
        <w:tc>
          <w:tcPr>
            <w:tcW w:type="dxa" w:w="3888"/>
            <w:shd w:val="clear" w:fill="EDF0F6"/>
          </w:tcPr>
          <w:p>
            <w:r>
              <w:rPr>
                <w:rFonts w:ascii="Calibri" w:hAnsi="Calibri"/>
                <w:b w:val="0"/>
                <w:i w:val="0"/>
                <w:sz w:val="19"/>
              </w:rPr>
              <w:t>A published list, and notice to us before it changes.</w:t>
            </w:r>
          </w:p>
        </w:tc>
      </w:tr>
      <w:tr>
        <w:tc>
          <w:tcPr>
            <w:tcW w:type="dxa" w:w="576"/>
          </w:tcPr>
          <w:p>
            <w:r>
              <w:rPr>
                <w:rFonts w:ascii="Calibri" w:hAnsi="Calibri"/>
                <w:b/>
                <w:i w:val="0"/>
                <w:color w:val="A87C28"/>
                <w:sz w:val="19"/>
              </w:rPr>
              <w:t>08</w:t>
            </w:r>
          </w:p>
        </w:tc>
        <w:tc>
          <w:tcPr>
            <w:tcW w:type="dxa" w:w="5184"/>
          </w:tcPr>
          <w:p>
            <w:r>
              <w:rPr>
                <w:rFonts w:ascii="Calibri" w:hAnsi="Calibri"/>
                <w:b/>
                <w:i w:val="0"/>
                <w:color w:val="052659"/>
                <w:sz w:val="20"/>
              </w:rPr>
              <w:t>Will you sign a business associate agreement?</w:t>
            </w:r>
          </w:p>
        </w:tc>
        <w:tc>
          <w:tcPr>
            <w:tcW w:type="dxa" w:w="3888"/>
          </w:tcPr>
          <w:p>
            <w:r>
              <w:rPr>
                <w:rFonts w:ascii="Calibri" w:hAnsi="Calibri"/>
                <w:b w:val="0"/>
                <w:i w:val="0"/>
                <w:sz w:val="19"/>
              </w:rPr>
              <w:t>Yes, wherever health information is involved. A no ends that use case.</w:t>
            </w:r>
          </w:p>
        </w:tc>
      </w:tr>
      <w:tr>
        <w:tc>
          <w:tcPr>
            <w:tcW w:type="dxa" w:w="576"/>
            <w:shd w:val="clear" w:fill="EDF0F6"/>
          </w:tcPr>
          <w:p>
            <w:r>
              <w:rPr>
                <w:rFonts w:ascii="Calibri" w:hAnsi="Calibri"/>
                <w:b/>
                <w:i w:val="0"/>
                <w:color w:val="A87C28"/>
                <w:sz w:val="19"/>
              </w:rPr>
              <w:t>09</w:t>
            </w:r>
          </w:p>
        </w:tc>
        <w:tc>
          <w:tcPr>
            <w:tcW w:type="dxa" w:w="5184"/>
            <w:shd w:val="clear" w:fill="EDF0F6"/>
          </w:tcPr>
          <w:p>
            <w:r>
              <w:rPr>
                <w:rFonts w:ascii="Calibri" w:hAnsi="Calibri"/>
                <w:b/>
                <w:i w:val="0"/>
                <w:color w:val="052659"/>
                <w:sz w:val="20"/>
              </w:rPr>
              <w:t>What happens to our data if we stop paying, or you are acquired?</w:t>
            </w:r>
          </w:p>
        </w:tc>
        <w:tc>
          <w:tcPr>
            <w:tcW w:type="dxa" w:w="3888"/>
            <w:shd w:val="clear" w:fill="EDF0F6"/>
          </w:tcPr>
          <w:p>
            <w:r>
              <w:rPr>
                <w:rFonts w:ascii="Calibri" w:hAnsi="Calibri"/>
                <w:b w:val="0"/>
                <w:i w:val="0"/>
                <w:sz w:val="19"/>
              </w:rPr>
              <w:t>An export path and a deletion commitment that survives the change.</w:t>
            </w:r>
          </w:p>
        </w:tc>
      </w:tr>
      <w:tr>
        <w:tc>
          <w:tcPr>
            <w:tcW w:type="dxa" w:w="576"/>
          </w:tcPr>
          <w:p>
            <w:r>
              <w:rPr>
                <w:rFonts w:ascii="Calibri" w:hAnsi="Calibri"/>
                <w:b/>
                <w:i w:val="0"/>
                <w:color w:val="A87C28"/>
                <w:sz w:val="19"/>
              </w:rPr>
              <w:t>10</w:t>
            </w:r>
          </w:p>
        </w:tc>
        <w:tc>
          <w:tcPr>
            <w:tcW w:type="dxa" w:w="5184"/>
          </w:tcPr>
          <w:p>
            <w:r>
              <w:rPr>
                <w:rFonts w:ascii="Calibri" w:hAnsi="Calibri"/>
                <w:b/>
                <w:i w:val="0"/>
                <w:color w:val="052659"/>
                <w:sz w:val="20"/>
              </w:rPr>
              <w:t>What is your security posture, and can you show it?</w:t>
            </w:r>
          </w:p>
        </w:tc>
        <w:tc>
          <w:tcPr>
            <w:tcW w:type="dxa" w:w="3888"/>
          </w:tcPr>
          <w:p>
            <w:r>
              <w:rPr>
                <w:rFonts w:ascii="Calibri" w:hAnsi="Calibri"/>
                <w:b w:val="0"/>
                <w:i w:val="0"/>
                <w:sz w:val="19"/>
              </w:rPr>
              <w:t>SOC 2 Type II or equivalent, dated within the last year.</w:t>
            </w:r>
          </w:p>
        </w:tc>
      </w:tr>
      <w:tr>
        <w:tc>
          <w:tcPr>
            <w:tcW w:type="dxa" w:w="576"/>
            <w:shd w:val="clear" w:fill="EDF0F6"/>
          </w:tcPr>
          <w:p>
            <w:r>
              <w:rPr>
                <w:rFonts w:ascii="Calibri" w:hAnsi="Calibri"/>
                <w:b/>
                <w:i w:val="0"/>
                <w:color w:val="A87C28"/>
                <w:sz w:val="19"/>
              </w:rPr>
              <w:t>11</w:t>
            </w:r>
          </w:p>
        </w:tc>
        <w:tc>
          <w:tcPr>
            <w:tcW w:type="dxa" w:w="5184"/>
            <w:shd w:val="clear" w:fill="EDF0F6"/>
          </w:tcPr>
          <w:p>
            <w:r>
              <w:rPr>
                <w:rFonts w:ascii="Calibri" w:hAnsi="Calibri"/>
                <w:b/>
                <w:i w:val="0"/>
                <w:color w:val="052659"/>
                <w:sz w:val="20"/>
              </w:rPr>
              <w:t>What does the tool do when it does not know something?</w:t>
            </w:r>
          </w:p>
        </w:tc>
        <w:tc>
          <w:tcPr>
            <w:tcW w:type="dxa" w:w="3888"/>
            <w:shd w:val="clear" w:fill="EDF0F6"/>
          </w:tcPr>
          <w:p>
            <w:r>
              <w:rPr>
                <w:rFonts w:ascii="Calibri" w:hAnsi="Calibri"/>
                <w:b w:val="0"/>
                <w:i w:val="0"/>
                <w:sz w:val="19"/>
              </w:rPr>
              <w:t>An honest answer about error rates and whether sources are cited.</w:t>
            </w:r>
          </w:p>
        </w:tc>
      </w:tr>
      <w:tr>
        <w:tc>
          <w:tcPr>
            <w:tcW w:type="dxa" w:w="576"/>
          </w:tcPr>
          <w:p>
            <w:r>
              <w:rPr>
                <w:rFonts w:ascii="Calibri" w:hAnsi="Calibri"/>
                <w:b/>
                <w:i w:val="0"/>
                <w:color w:val="A87C28"/>
                <w:sz w:val="19"/>
              </w:rPr>
              <w:t>12</w:t>
            </w:r>
          </w:p>
        </w:tc>
        <w:tc>
          <w:tcPr>
            <w:tcW w:type="dxa" w:w="5184"/>
          </w:tcPr>
          <w:p>
            <w:r>
              <w:rPr>
                <w:rFonts w:ascii="Calibri" w:hAnsi="Calibri"/>
                <w:b/>
                <w:i w:val="0"/>
                <w:color w:val="052659"/>
                <w:sz w:val="20"/>
              </w:rPr>
              <w:t>What does this cost at our real volume in year two?</w:t>
            </w:r>
          </w:p>
        </w:tc>
        <w:tc>
          <w:tcPr>
            <w:tcW w:type="dxa" w:w="3888"/>
          </w:tcPr>
          <w:p>
            <w:r>
              <w:rPr>
                <w:rFonts w:ascii="Calibri" w:hAnsi="Calibri"/>
                <w:b w:val="0"/>
                <w:i w:val="0"/>
                <w:sz w:val="19"/>
              </w:rPr>
              <w:t>The renewal price, not the pilot price.</w:t>
            </w:r>
          </w:p>
        </w:tc>
      </w:tr>
    </w:tbl>
    <w:p>
      <w:pPr>
        <w:spacing w:before="320"/>
      </w:pPr>
      <w:r>
        <w:rPr>
          <w:rFonts w:ascii="Calibri" w:hAnsi="Calibri"/>
          <w:b w:val="0"/>
          <w:i w:val="0"/>
          <w:color w:val="A87C28"/>
          <w:sz w:val="18"/>
        </w:rPr>
        <w:t>Campbell Group Consulting, LLC  ·  scampbell@campbellconsults.com  ·  727-501-3157  ·  www.campbellconsults.com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Position and Vendor Questions</dc:title>
  <dc:subject/>
  <dc:creator>Campbell Group Consulting,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